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26F63A16"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AC2620">
        <w:t>6</w:t>
      </w:r>
      <w:r w:rsidR="00DA11D9" w:rsidRPr="004E7695">
        <w:t xml:space="preserve"> </w:t>
      </w:r>
      <w:r w:rsidR="00BB7833" w:rsidRPr="004E7695">
        <w:t>(</w:t>
      </w:r>
      <w:r w:rsidR="00A70194">
        <w:t>1</w:t>
      </w:r>
      <w:r w:rsidR="00AC2620">
        <w:t>9</w:t>
      </w:r>
      <w:r w:rsidR="00A70194">
        <w:t xml:space="preserve"> </w:t>
      </w:r>
      <w:r w:rsidR="00AC2620">
        <w:t>August</w:t>
      </w:r>
      <w:r w:rsidR="002768CF">
        <w:t xml:space="preserve"> 202</w:t>
      </w:r>
      <w:r w:rsidR="00274EDA">
        <w:t>2</w:t>
      </w:r>
      <w:r w:rsidR="00AE64B2" w:rsidRPr="004E7695">
        <w:t>)</w:t>
      </w:r>
    </w:p>
    <w:p w14:paraId="5E785AFF" w14:textId="77777777" w:rsidR="00AE64B2" w:rsidRPr="004E7695" w:rsidRDefault="00AE64B2" w:rsidP="00AE64B2"/>
    <w:p w14:paraId="4A47D668" w14:textId="2E8A485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F55CB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0FBEEADE"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0F3638">
          <w:rPr>
            <w:noProof/>
            <w:webHidden/>
          </w:rPr>
          <w:t>1</w:t>
        </w:r>
        <w:r w:rsidR="00E7422A">
          <w:rPr>
            <w:noProof/>
            <w:webHidden/>
          </w:rPr>
          <w:fldChar w:fldCharType="end"/>
        </w:r>
      </w:hyperlink>
    </w:p>
    <w:p w14:paraId="495CADEB" w14:textId="4FAF7FA9" w:rsidR="00E7422A" w:rsidRDefault="000F3638">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Pr>
            <w:noProof/>
            <w:webHidden/>
          </w:rPr>
          <w:t>3</w:t>
        </w:r>
        <w:r w:rsidR="00E7422A">
          <w:rPr>
            <w:noProof/>
            <w:webHidden/>
          </w:rPr>
          <w:fldChar w:fldCharType="end"/>
        </w:r>
      </w:hyperlink>
    </w:p>
    <w:p w14:paraId="0388F275" w14:textId="62F3A13A" w:rsidR="00E7422A" w:rsidRDefault="000F3638">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Pr>
            <w:noProof/>
            <w:webHidden/>
          </w:rPr>
          <w:t>9</w:t>
        </w:r>
        <w:r w:rsidR="00E7422A">
          <w:rPr>
            <w:noProof/>
            <w:webHidden/>
          </w:rPr>
          <w:fldChar w:fldCharType="end"/>
        </w:r>
      </w:hyperlink>
    </w:p>
    <w:p w14:paraId="37CA1D10" w14:textId="3F1608F2" w:rsidR="00E7422A" w:rsidRDefault="000F3638">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Pr>
            <w:noProof/>
            <w:webHidden/>
          </w:rPr>
          <w:t>15</w:t>
        </w:r>
        <w:r w:rsidR="00E7422A">
          <w:rPr>
            <w:noProof/>
            <w:webHidden/>
          </w:rPr>
          <w:fldChar w:fldCharType="end"/>
        </w:r>
      </w:hyperlink>
    </w:p>
    <w:p w14:paraId="5FC9CF3E" w14:textId="0D9CEEFE" w:rsidR="00E7422A" w:rsidRDefault="000F3638">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Pr>
            <w:noProof/>
            <w:webHidden/>
          </w:rPr>
          <w:t>16</w:t>
        </w:r>
        <w:r w:rsidR="00E7422A">
          <w:rPr>
            <w:noProof/>
            <w:webHidden/>
          </w:rPr>
          <w:fldChar w:fldCharType="end"/>
        </w:r>
      </w:hyperlink>
    </w:p>
    <w:p w14:paraId="5C2074F5" w14:textId="3AB46A77" w:rsidR="00E7422A" w:rsidRDefault="000F3638">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Pr>
            <w:noProof/>
            <w:webHidden/>
          </w:rPr>
          <w:t>17</w:t>
        </w:r>
        <w:r w:rsidR="00E7422A">
          <w:rPr>
            <w:noProof/>
            <w:webHidden/>
          </w:rPr>
          <w:fldChar w:fldCharType="end"/>
        </w:r>
      </w:hyperlink>
    </w:p>
    <w:p w14:paraId="6433C95F" w14:textId="275BE62D" w:rsidR="00E7422A" w:rsidRDefault="000F3638">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Pr>
            <w:noProof/>
            <w:webHidden/>
          </w:rPr>
          <w:t>30</w:t>
        </w:r>
        <w:r w:rsidR="00E7422A">
          <w:rPr>
            <w:noProof/>
            <w:webHidden/>
          </w:rPr>
          <w:fldChar w:fldCharType="end"/>
        </w:r>
      </w:hyperlink>
    </w:p>
    <w:p w14:paraId="31C130B5" w14:textId="28294C5F" w:rsidR="00E7422A" w:rsidRDefault="000F3638">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Pr>
            <w:noProof/>
            <w:webHidden/>
          </w:rPr>
          <w:t>32</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0F3638"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621C03B2" w:rsidR="00B61716" w:rsidRPr="0049208E" w:rsidRDefault="000F3638" w:rsidP="00903466">
            <w:pPr>
              <w:pStyle w:val="Title3"/>
              <w:spacing w:beforeLines="60" w:before="144" w:afterLines="60" w:after="144"/>
              <w:jc w:val="left"/>
              <w:rPr>
                <w:i/>
                <w:iCs/>
              </w:rPr>
            </w:pPr>
            <w:hyperlink w:anchor="_Davis_v_Minister" w:history="1">
              <w:r w:rsidR="0049208E" w:rsidRPr="007F6A74">
                <w:rPr>
                  <w:rStyle w:val="Hyperlink"/>
                  <w:rFonts w:cs="Verdana"/>
                  <w:i/>
                  <w:iCs/>
                  <w:noProof w:val="0"/>
                </w:rPr>
                <w:t>Nathanson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00DC726A" w:rsidR="00B61716" w:rsidRDefault="0049208E" w:rsidP="00AC2199">
            <w:r>
              <w:t>Administrative Law</w:t>
            </w:r>
          </w:p>
        </w:tc>
      </w:tr>
      <w:tr w:rsidR="009D4A75" w:rsidRPr="004E7695" w14:paraId="639988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568F0A6" w14:textId="0CB8E1D4" w:rsidR="009D4A75" w:rsidRPr="0049208E" w:rsidRDefault="000F3638" w:rsidP="009D4A75">
            <w:pPr>
              <w:pStyle w:val="Title3"/>
              <w:spacing w:beforeLines="60" w:before="144" w:afterLines="60" w:after="144"/>
              <w:jc w:val="left"/>
              <w:rPr>
                <w:i/>
                <w:iCs/>
              </w:rPr>
            </w:pPr>
            <w:hyperlink w:anchor="_Farm_Transparency_International_2" w:history="1">
              <w:r w:rsidR="0049208E" w:rsidRPr="007F6A74">
                <w:rPr>
                  <w:rStyle w:val="Hyperlink"/>
                  <w:rFonts w:cs="Verdana"/>
                  <w:i/>
                  <w:iCs/>
                  <w:noProof w:val="0"/>
                </w:rPr>
                <w:t>Farm Transparency International Ltd &amp; Anor v State of New South Wales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E4BFA8" w14:textId="236FFBE1" w:rsidR="009D4A75" w:rsidRDefault="0049208E" w:rsidP="00AC2199">
            <w:r>
              <w:t>Constitutional Law</w:t>
            </w:r>
          </w:p>
        </w:tc>
      </w:tr>
      <w:tr w:rsidR="009D4A75" w:rsidRPr="004E7695" w14:paraId="7194F004"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FB37E3D" w14:textId="0043A16C" w:rsidR="009D4A75" w:rsidRPr="007777BA" w:rsidRDefault="000F3638" w:rsidP="009D4A75">
            <w:pPr>
              <w:pStyle w:val="Title3"/>
              <w:spacing w:beforeLines="60" w:before="144" w:afterLines="60" w:after="144"/>
              <w:jc w:val="left"/>
              <w:rPr>
                <w:i/>
                <w:iCs/>
              </w:rPr>
            </w:pPr>
            <w:hyperlink w:anchor="_O'Dea_v_The_1" w:history="1">
              <w:r w:rsidR="0049208E" w:rsidRPr="007F6A74">
                <w:rPr>
                  <w:rStyle w:val="Hyperlink"/>
                  <w:rFonts w:cs="Verdana"/>
                  <w:i/>
                  <w:iCs/>
                  <w:noProof w:val="0"/>
                </w:rPr>
                <w:t>O'Dea v The State of Western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3FED096" w14:textId="7068493A" w:rsidR="009D4A75" w:rsidRDefault="007F6A74" w:rsidP="00AC2199">
            <w:r>
              <w:t>Criminal Law</w:t>
            </w:r>
          </w:p>
        </w:tc>
      </w:tr>
      <w:tr w:rsidR="0049208E" w:rsidRPr="004E7695" w14:paraId="1289C162"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CED184A" w14:textId="3760FF61" w:rsidR="0049208E" w:rsidRPr="0049208E" w:rsidRDefault="000F3638" w:rsidP="009D4A75">
            <w:pPr>
              <w:pStyle w:val="Title3"/>
              <w:spacing w:beforeLines="60" w:before="144" w:afterLines="60" w:after="144"/>
              <w:jc w:val="left"/>
              <w:rPr>
                <w:i/>
                <w:iCs/>
              </w:rPr>
            </w:pPr>
            <w:hyperlink w:anchor="_Dansie_v_The_2" w:history="1">
              <w:proofErr w:type="spellStart"/>
              <w:r w:rsidR="0049208E" w:rsidRPr="007F6A74">
                <w:rPr>
                  <w:rStyle w:val="Hyperlink"/>
                  <w:rFonts w:cs="Verdana"/>
                  <w:i/>
                  <w:iCs/>
                  <w:noProof w:val="0"/>
                </w:rPr>
                <w:t>Dansie</w:t>
              </w:r>
              <w:proofErr w:type="spellEnd"/>
              <w:r w:rsidR="0049208E" w:rsidRPr="007F6A74">
                <w:rPr>
                  <w:rStyle w:val="Hyperlink"/>
                  <w:rFonts w:cs="Verdana"/>
                  <w:i/>
                  <w:iCs/>
                  <w:noProof w:val="0"/>
                </w:rPr>
                <w:t xml:space="preserve">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C97B3D" w14:textId="10C9AB25" w:rsidR="0049208E" w:rsidRDefault="007F6A74" w:rsidP="00AC2199">
            <w:r>
              <w:t>Criminal Practice</w:t>
            </w:r>
          </w:p>
        </w:tc>
      </w:tr>
      <w:tr w:rsidR="0049208E" w:rsidRPr="004E7695" w14:paraId="743C7313"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EF0A1DB" w14:textId="5AB20E05" w:rsidR="0049208E" w:rsidRPr="0049208E" w:rsidRDefault="000F3638" w:rsidP="009D4A75">
            <w:pPr>
              <w:pStyle w:val="Title3"/>
              <w:spacing w:beforeLines="60" w:before="144" w:afterLines="60" w:after="144"/>
              <w:jc w:val="left"/>
              <w:rPr>
                <w:i/>
                <w:iCs/>
              </w:rPr>
            </w:pPr>
            <w:hyperlink w:anchor="_Google_LLC_v" w:history="1">
              <w:r w:rsidR="0049208E" w:rsidRPr="007F6A74">
                <w:rPr>
                  <w:rStyle w:val="Hyperlink"/>
                  <w:rFonts w:cs="Verdana"/>
                  <w:i/>
                  <w:iCs/>
                  <w:noProof w:val="0"/>
                </w:rPr>
                <w:t xml:space="preserve">Google LLC v </w:t>
              </w:r>
              <w:proofErr w:type="spellStart"/>
              <w:r w:rsidR="0049208E" w:rsidRPr="007F6A74">
                <w:rPr>
                  <w:rStyle w:val="Hyperlink"/>
                  <w:rFonts w:cs="Verdana"/>
                  <w:i/>
                  <w:iCs/>
                  <w:noProof w:val="0"/>
                </w:rPr>
                <w:t>Defteros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307E3177" w14:textId="5CCFE42E" w:rsidR="0049208E" w:rsidRDefault="007F6A74" w:rsidP="00AC2199">
            <w:r>
              <w:t>Defamation</w:t>
            </w:r>
          </w:p>
        </w:tc>
      </w:tr>
      <w:tr w:rsidR="0049208E" w:rsidRPr="004E7695" w14:paraId="2B250BED"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613DA5" w14:textId="4422BC20" w:rsidR="0049208E" w:rsidRPr="0049208E" w:rsidRDefault="000F3638" w:rsidP="009D4A75">
            <w:pPr>
              <w:pStyle w:val="Title3"/>
              <w:spacing w:beforeLines="60" w:before="144" w:afterLines="60" w:after="144"/>
              <w:jc w:val="left"/>
              <w:rPr>
                <w:i/>
                <w:iCs/>
              </w:rPr>
            </w:pPr>
            <w:hyperlink w:anchor="_Tu'uta_Katoa_v" w:history="1">
              <w:proofErr w:type="spellStart"/>
              <w:r w:rsidR="0049208E" w:rsidRPr="007F6A74">
                <w:rPr>
                  <w:rStyle w:val="Hyperlink"/>
                  <w:rFonts w:cs="Verdana"/>
                  <w:i/>
                  <w:iCs/>
                  <w:noProof w:val="0"/>
                </w:rPr>
                <w:t>Tu'uta</w:t>
              </w:r>
              <w:proofErr w:type="spellEnd"/>
              <w:r w:rsidR="0049208E" w:rsidRPr="007F6A74">
                <w:rPr>
                  <w:rStyle w:val="Hyperlink"/>
                  <w:rFonts w:cs="Verdana"/>
                  <w:i/>
                  <w:iCs/>
                  <w:noProof w:val="0"/>
                </w:rPr>
                <w:t xml:space="preserve"> Katoa v Minister for Immigration, Citizenship, Migrant Services and Multicultural Affairs &amp; Anor</w:t>
              </w:r>
            </w:hyperlink>
            <w:r w:rsidR="0049208E" w:rsidRPr="0049208E">
              <w:rPr>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586B044" w14:textId="3A13182D" w:rsidR="0049208E" w:rsidRDefault="007F6A74" w:rsidP="00AC2199">
            <w:r>
              <w:t>Immigration</w:t>
            </w:r>
          </w:p>
        </w:tc>
      </w:tr>
      <w:tr w:rsidR="006033CF" w:rsidRPr="004E7695" w14:paraId="34946F47"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EB4775B" w14:textId="4044DFBC" w:rsidR="006033CF" w:rsidRPr="006033CF" w:rsidRDefault="000F3638" w:rsidP="0049208E">
            <w:pPr>
              <w:pStyle w:val="Title3"/>
              <w:spacing w:beforeLines="60" w:before="144" w:afterLines="60" w:after="144"/>
              <w:jc w:val="left"/>
              <w:rPr>
                <w:i/>
                <w:iCs/>
              </w:rPr>
            </w:pPr>
            <w:hyperlink w:anchor="_Aristocrat_Technologies_Australia" w:history="1">
              <w:r w:rsidR="0049208E" w:rsidRPr="007F6A74">
                <w:rPr>
                  <w:rStyle w:val="Hyperlink"/>
                  <w:rFonts w:cs="Verdana"/>
                  <w:i/>
                  <w:iCs/>
                  <w:noProof w:val="0"/>
                </w:rPr>
                <w:t>Aristocrat Technologies Australia Pty Ltd v Commissioner of Patents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C53C408" w14:textId="050922EE" w:rsidR="006033CF" w:rsidRPr="006033CF" w:rsidRDefault="007F6A74" w:rsidP="00AC2199">
            <w:r>
              <w:t>Patents</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0F3638"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0434320D" w:rsidR="006F0BD7" w:rsidRPr="00935A7A" w:rsidRDefault="000F3638" w:rsidP="0072408A">
            <w:pPr>
              <w:pStyle w:val="Title3"/>
              <w:spacing w:beforeLines="60" w:before="144" w:afterLines="60" w:after="144"/>
              <w:jc w:val="left"/>
              <w:rPr>
                <w:rFonts w:cs="Arial"/>
                <w:i/>
              </w:rPr>
            </w:pPr>
            <w:hyperlink w:anchor="_Bosanac_v_Commissioner" w:history="1">
              <w:r w:rsidR="0049208E" w:rsidRPr="0049208E">
                <w:rPr>
                  <w:rStyle w:val="Hyperlink"/>
                  <w:i/>
                  <w:noProof w:val="0"/>
                </w:rPr>
                <w:t>Bosanac v Commissioner of Taxation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4AB6C08C" w:rsidR="006F0BD7" w:rsidRPr="0072408A" w:rsidRDefault="0049208E" w:rsidP="0072408A">
            <w:pPr>
              <w:pStyle w:val="Title3"/>
              <w:spacing w:beforeLines="60" w:before="144" w:afterLines="60" w:after="144"/>
              <w:jc w:val="left"/>
              <w:rPr>
                <w:rFonts w:cs="Arial"/>
                <w:bCs/>
                <w:iCs/>
              </w:rPr>
            </w:pPr>
            <w:r>
              <w:rPr>
                <w:rFonts w:cs="Arial"/>
                <w:bCs/>
                <w:iCs/>
              </w:rPr>
              <w:t>E</w:t>
            </w:r>
            <w:r>
              <w:rPr>
                <w:rFonts w:cs="Arial"/>
                <w:iCs/>
              </w:rPr>
              <w:t>quity</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6E5E9640" w:rsidR="00461267" w:rsidRPr="00935A7A" w:rsidRDefault="000F3638" w:rsidP="0072408A">
            <w:pPr>
              <w:pStyle w:val="Title3"/>
              <w:spacing w:beforeLines="60" w:before="144" w:afterLines="60" w:after="144"/>
              <w:jc w:val="left"/>
              <w:rPr>
                <w:rFonts w:cs="Arial"/>
                <w:i/>
              </w:rPr>
            </w:pPr>
            <w:hyperlink w:anchor="_TL_v_The_1" w:history="1">
              <w:r w:rsidR="0049208E" w:rsidRPr="0049208E">
                <w:rPr>
                  <w:rStyle w:val="Hyperlink"/>
                  <w:i/>
                  <w:noProof w:val="0"/>
                </w:rPr>
                <w:t>TL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78D4D464" w:rsidR="00461267" w:rsidRPr="0072408A" w:rsidRDefault="0049208E" w:rsidP="0072408A">
            <w:pPr>
              <w:pStyle w:val="Title3"/>
              <w:spacing w:beforeLines="60" w:before="144" w:afterLines="60" w:after="144"/>
              <w:jc w:val="left"/>
              <w:rPr>
                <w:rFonts w:cs="Arial"/>
                <w:bCs/>
                <w:iCs/>
              </w:rPr>
            </w:pPr>
            <w:r>
              <w:rPr>
                <w:rFonts w:cs="Arial"/>
                <w:bCs/>
                <w:iCs/>
              </w:rPr>
              <w:t>E</w:t>
            </w:r>
            <w:r>
              <w:rPr>
                <w:rFonts w:cs="Arial"/>
                <w:iCs/>
              </w:rPr>
              <w:t>vidence</w:t>
            </w:r>
          </w:p>
        </w:tc>
      </w:tr>
      <w:tr w:rsidR="00461267" w:rsidRPr="004E7695" w14:paraId="3D58EDC3"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C8D9D34" w14:textId="1C0EC4EE" w:rsidR="00461267" w:rsidRPr="00935A7A" w:rsidRDefault="000F3638" w:rsidP="0072408A">
            <w:pPr>
              <w:pStyle w:val="Title3"/>
              <w:spacing w:beforeLines="60" w:before="144" w:afterLines="60" w:after="144"/>
              <w:jc w:val="left"/>
              <w:rPr>
                <w:rFonts w:cs="Arial"/>
                <w:i/>
              </w:rPr>
            </w:pPr>
            <w:hyperlink w:anchor="_Allianz_Australia_Insurance" w:history="1">
              <w:r w:rsidR="0049208E" w:rsidRPr="0049208E">
                <w:rPr>
                  <w:rStyle w:val="Hyperlink"/>
                  <w:i/>
                  <w:noProof w:val="0"/>
                </w:rPr>
                <w:t xml:space="preserve">Allianz Australia Insurance Limited v </w:t>
              </w:r>
              <w:proofErr w:type="spellStart"/>
              <w:r w:rsidR="0049208E" w:rsidRPr="0049208E">
                <w:rPr>
                  <w:rStyle w:val="Hyperlink"/>
                  <w:i/>
                  <w:noProof w:val="0"/>
                </w:rPr>
                <w:t>Delor</w:t>
              </w:r>
              <w:proofErr w:type="spellEnd"/>
              <w:r w:rsidR="0049208E" w:rsidRPr="0049208E">
                <w:rPr>
                  <w:rStyle w:val="Hyperlink"/>
                  <w:i/>
                  <w:noProof w:val="0"/>
                </w:rPr>
                <w:t xml:space="preserve"> Vue Apartments CTS 39788</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FD4AF61" w14:textId="334A9494" w:rsidR="00461267" w:rsidRPr="0072408A" w:rsidRDefault="0049208E" w:rsidP="0072408A">
            <w:pPr>
              <w:pStyle w:val="Title3"/>
              <w:spacing w:beforeLines="60" w:before="144" w:afterLines="60" w:after="144"/>
              <w:jc w:val="left"/>
              <w:rPr>
                <w:rFonts w:cs="Arial"/>
                <w:bCs/>
                <w:iCs/>
              </w:rPr>
            </w:pPr>
            <w:r>
              <w:rPr>
                <w:rFonts w:cs="Arial"/>
                <w:bCs/>
                <w:iCs/>
              </w:rPr>
              <w:t>Insurance</w:t>
            </w:r>
          </w:p>
        </w:tc>
      </w:tr>
      <w:tr w:rsidR="007F16BF" w:rsidRPr="004E7695" w14:paraId="6C0B8FFE" w14:textId="77777777" w:rsidTr="00D2027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115D336" w14:textId="42D03581" w:rsidR="007F16BF" w:rsidRPr="00935A7A" w:rsidRDefault="000F3638" w:rsidP="0049208E">
            <w:pPr>
              <w:pStyle w:val="Title3"/>
              <w:spacing w:beforeLines="60" w:before="144" w:afterLines="60" w:after="144"/>
              <w:jc w:val="left"/>
              <w:rPr>
                <w:rFonts w:cs="Arial"/>
                <w:i/>
              </w:rPr>
            </w:pPr>
            <w:hyperlink w:anchor="_BHP_Group_Limited" w:history="1">
              <w:r w:rsidR="0049208E" w:rsidRPr="0049208E">
                <w:rPr>
                  <w:rStyle w:val="Hyperlink"/>
                  <w:i/>
                  <w:noProof w:val="0"/>
                </w:rPr>
                <w:t xml:space="preserve">BHP Group Limited v </w:t>
              </w:r>
              <w:proofErr w:type="spellStart"/>
              <w:r w:rsidR="0049208E" w:rsidRPr="0049208E">
                <w:rPr>
                  <w:rStyle w:val="Hyperlink"/>
                  <w:i/>
                  <w:noProof w:val="0"/>
                </w:rPr>
                <w:t>Impiombato</w:t>
              </w:r>
              <w:proofErr w:type="spellEnd"/>
              <w:r w:rsidR="0049208E" w:rsidRPr="0049208E">
                <w:rPr>
                  <w:rStyle w:val="Hyperlink"/>
                  <w:i/>
                  <w:noProof w:val="0"/>
                </w:rPr>
                <w:t xml:space="preserve">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D5474A4" w14:textId="25DF343D" w:rsidR="007F16BF" w:rsidRPr="0072408A" w:rsidRDefault="0049208E" w:rsidP="00AC2199">
            <w:r>
              <w:t xml:space="preserve">Representative Proceedings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77777777" w:rsidR="000F6D0D" w:rsidRDefault="000F3638"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77777777" w:rsidR="00C20C68" w:rsidRPr="004E7695" w:rsidRDefault="000F3638"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0F3638"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bookmarkStart w:id="25" w:name="_Hlk106608698"/>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bookmarkEnd w:id="24"/>
      <w:tr w:rsidR="00540E77" w14:paraId="6C9914D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3069589C" w:rsidR="00540E77" w:rsidRPr="00436D5A" w:rsidRDefault="0049208E" w:rsidP="00540E77">
            <w:pPr>
              <w:pStyle w:val="Title3"/>
              <w:spacing w:beforeLines="60" w:before="144" w:afterLines="60" w:after="144"/>
              <w:jc w:val="left"/>
              <w:rPr>
                <w:rFonts w:cs="Arial"/>
                <w:i/>
              </w:rPr>
            </w:pPr>
            <w:r>
              <w:rPr>
                <w:rFonts w:cs="Arial"/>
                <w:i/>
              </w:rPr>
              <w:fldChar w:fldCharType="begin"/>
            </w:r>
            <w:r>
              <w:rPr>
                <w:rFonts w:cs="Arial"/>
                <w:i/>
              </w:rPr>
              <w:instrText xml:space="preserve"> HYPERLINK  \l "_Stanley_v_Director" </w:instrText>
            </w:r>
            <w:r>
              <w:rPr>
                <w:rFonts w:cs="Arial"/>
                <w:i/>
              </w:rPr>
              <w:fldChar w:fldCharType="separate"/>
            </w:r>
            <w:r w:rsidR="006159EF" w:rsidRPr="0049208E">
              <w:rPr>
                <w:rStyle w:val="Hyperlink"/>
                <w:i/>
                <w:noProof w:val="0"/>
              </w:rPr>
              <w:t>Stanley v Director of Public Prosecutions (NSW) (Sydney) &amp; Anor</w:t>
            </w:r>
            <w:r>
              <w:rPr>
                <w:rFonts w:cs="Arial"/>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2E5EF1CD" w:rsidR="00540E77" w:rsidRDefault="006159EF" w:rsidP="0049208E">
            <w:pPr>
              <w:pStyle w:val="Title3"/>
              <w:spacing w:beforeLines="60" w:before="144" w:afterLines="60" w:after="144"/>
              <w:jc w:val="left"/>
              <w:rPr>
                <w:rFonts w:cs="Arial"/>
              </w:rPr>
            </w:pPr>
            <w:r>
              <w:rPr>
                <w:rFonts w:cs="Arial"/>
              </w:rPr>
              <w:t xml:space="preserve">Administrative Law </w:t>
            </w:r>
          </w:p>
        </w:tc>
      </w:tr>
      <w:bookmarkEnd w:id="25"/>
      <w:tr w:rsidR="006033CF" w14:paraId="7C7B8F77"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1F4FC1FC" w:rsidR="006033CF" w:rsidRPr="00A451CA" w:rsidRDefault="0049208E" w:rsidP="006033CF">
            <w:pPr>
              <w:pStyle w:val="Title3"/>
              <w:spacing w:beforeLines="60" w:before="144" w:afterLines="60" w:after="144"/>
              <w:jc w:val="left"/>
              <w:rPr>
                <w:rFonts w:cs="Arial"/>
                <w:i/>
                <w:iCs/>
              </w:rPr>
            </w:pPr>
            <w:r>
              <w:rPr>
                <w:rFonts w:cs="Arial"/>
                <w:i/>
                <w:iCs/>
              </w:rPr>
              <w:fldChar w:fldCharType="begin"/>
            </w:r>
            <w:r>
              <w:rPr>
                <w:rFonts w:cs="Arial"/>
                <w:i/>
                <w:iCs/>
              </w:rPr>
              <w:instrText xml:space="preserve"> HYPERLINK  \l "_Laundy_Hotels_(Quarry)" </w:instrText>
            </w:r>
            <w:r>
              <w:rPr>
                <w:rFonts w:cs="Arial"/>
                <w:i/>
                <w:iCs/>
              </w:rPr>
              <w:fldChar w:fldCharType="separate"/>
            </w:r>
            <w:proofErr w:type="spellStart"/>
            <w:r w:rsidRPr="0049208E">
              <w:rPr>
                <w:rStyle w:val="Hyperlink"/>
                <w:i/>
                <w:iCs/>
                <w:noProof w:val="0"/>
              </w:rPr>
              <w:t>Laundy</w:t>
            </w:r>
            <w:proofErr w:type="spellEnd"/>
            <w:r w:rsidRPr="0049208E">
              <w:rPr>
                <w:rStyle w:val="Hyperlink"/>
                <w:i/>
                <w:iCs/>
                <w:noProof w:val="0"/>
              </w:rPr>
              <w:t xml:space="preserve"> Hotels (Quarry) Pty Limited v </w:t>
            </w:r>
            <w:proofErr w:type="spellStart"/>
            <w:r w:rsidRPr="0049208E">
              <w:rPr>
                <w:rStyle w:val="Hyperlink"/>
                <w:i/>
                <w:iCs/>
                <w:noProof w:val="0"/>
              </w:rPr>
              <w:t>Dyco</w:t>
            </w:r>
            <w:proofErr w:type="spellEnd"/>
            <w:r w:rsidRPr="0049208E">
              <w:rPr>
                <w:rStyle w:val="Hyperlink"/>
                <w:i/>
                <w:iCs/>
                <w:noProof w:val="0"/>
              </w:rPr>
              <w:t xml:space="preserve"> Hotels Pty Limited </w:t>
            </w:r>
            <w:proofErr w:type="spellStart"/>
            <w:r w:rsidRPr="0049208E">
              <w:rPr>
                <w:rStyle w:val="Hyperlink"/>
                <w:i/>
                <w:iCs/>
                <w:noProof w:val="0"/>
              </w:rPr>
              <w:t>atf</w:t>
            </w:r>
            <w:proofErr w:type="spellEnd"/>
            <w:r w:rsidRPr="0049208E">
              <w:rPr>
                <w:rStyle w:val="Hyperlink"/>
                <w:i/>
                <w:iCs/>
                <w:noProof w:val="0"/>
              </w:rPr>
              <w:t xml:space="preserve"> The </w:t>
            </w:r>
            <w:proofErr w:type="spellStart"/>
            <w:r w:rsidRPr="0049208E">
              <w:rPr>
                <w:rStyle w:val="Hyperlink"/>
                <w:i/>
                <w:iCs/>
                <w:noProof w:val="0"/>
              </w:rPr>
              <w:t>Parras</w:t>
            </w:r>
            <w:proofErr w:type="spellEnd"/>
            <w:r w:rsidRPr="0049208E">
              <w:rPr>
                <w:rStyle w:val="Hyperlink"/>
                <w:i/>
                <w:iCs/>
                <w:noProof w:val="0"/>
              </w:rPr>
              <w:t xml:space="preserve"> Family Trust &amp; Ors</w:t>
            </w:r>
            <w:r>
              <w:rPr>
                <w:rFonts w:cs="Arial"/>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D94472E" w14:textId="72ACE341" w:rsidR="006033CF" w:rsidRDefault="0049208E" w:rsidP="0049208E">
            <w:pPr>
              <w:pStyle w:val="Title3"/>
              <w:spacing w:beforeLines="60" w:before="144" w:afterLines="60" w:after="144"/>
              <w:jc w:val="left"/>
              <w:rPr>
                <w:rFonts w:cs="Arial"/>
              </w:rPr>
            </w:pPr>
            <w:r>
              <w:rPr>
                <w:rFonts w:cs="Arial"/>
              </w:rPr>
              <w:t xml:space="preserve">Contract </w:t>
            </w:r>
          </w:p>
        </w:tc>
      </w:tr>
      <w:tr w:rsidR="006159EF" w14:paraId="07681048"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31A4A07" w14:textId="421DFE3B" w:rsidR="006159EF" w:rsidRPr="00A451CA" w:rsidRDefault="000F3638" w:rsidP="006033CF">
            <w:pPr>
              <w:pStyle w:val="Title3"/>
              <w:spacing w:beforeLines="60" w:before="144" w:afterLines="60" w:after="144"/>
              <w:jc w:val="left"/>
              <w:rPr>
                <w:rFonts w:cs="Arial"/>
                <w:i/>
                <w:iCs/>
              </w:rPr>
            </w:pPr>
            <w:hyperlink w:anchor="_QYFM_v_Minister" w:history="1">
              <w:r w:rsidR="0049208E" w:rsidRPr="0049208E">
                <w:rPr>
                  <w:rStyle w:val="Hyperlink"/>
                  <w:i/>
                  <w:iCs/>
                  <w:noProof w:val="0"/>
                </w:rPr>
                <w:t>QYFM v Minister for Immigration, Citizenship, Migrant Services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2969F40" w14:textId="756135B1" w:rsidR="006159EF" w:rsidRDefault="0049208E" w:rsidP="0049208E">
            <w:pPr>
              <w:pStyle w:val="Title3"/>
              <w:spacing w:beforeLines="60" w:before="144" w:afterLines="60" w:after="144"/>
              <w:jc w:val="left"/>
              <w:rPr>
                <w:rFonts w:cs="Arial"/>
              </w:rPr>
            </w:pPr>
            <w:r>
              <w:rPr>
                <w:rFonts w:cs="Arial"/>
              </w:rPr>
              <w:t>Courts and Judges</w:t>
            </w:r>
          </w:p>
        </w:tc>
      </w:tr>
    </w:tbl>
    <w:p w14:paraId="47C09155" w14:textId="77777777" w:rsidR="000F6D0D" w:rsidRPr="004E7695" w:rsidRDefault="000F6D0D" w:rsidP="00543031">
      <w:pPr>
        <w:rPr>
          <w:noProof/>
        </w:rPr>
      </w:pPr>
    </w:p>
    <w:p w14:paraId="419457A6" w14:textId="77777777" w:rsidR="00FF66C6" w:rsidRDefault="000F3638"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6" w:name="_1:_Cases_Handed"/>
        <w:bookmarkStart w:id="27" w:name="_1:_Cases_Handed_1"/>
        <w:bookmarkStart w:id="28" w:name="_Ref474759793"/>
        <w:bookmarkStart w:id="29" w:name="Cases_Handed_Down"/>
        <w:bookmarkEnd w:id="26"/>
        <w:bookmarkEnd w:id="27"/>
      </w:hyperlink>
    </w:p>
    <w:tbl>
      <w:tblPr>
        <w:tblW w:w="8472" w:type="dxa"/>
        <w:tblLook w:val="0000" w:firstRow="0" w:lastRow="0" w:firstColumn="0" w:lastColumn="0" w:noHBand="0" w:noVBand="0"/>
      </w:tblPr>
      <w:tblGrid>
        <w:gridCol w:w="5495"/>
        <w:gridCol w:w="2977"/>
      </w:tblGrid>
      <w:tr w:rsidR="001171E6" w:rsidRPr="004E7695" w14:paraId="42914A0F" w14:textId="77777777" w:rsidTr="00C742DC">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1294396" w14:textId="77777777" w:rsidR="001171E6" w:rsidRPr="004E7695" w:rsidRDefault="001171E6" w:rsidP="00C742DC">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712AD5B" w14:textId="77777777" w:rsidR="001171E6" w:rsidRPr="004E7695" w:rsidRDefault="001171E6" w:rsidP="00C742DC">
            <w:pPr>
              <w:pStyle w:val="Title3"/>
              <w:spacing w:beforeLines="60" w:before="144" w:afterLines="60" w:after="144"/>
              <w:jc w:val="left"/>
              <w:rPr>
                <w:rFonts w:cs="Arial"/>
                <w:b/>
                <w:bCs/>
              </w:rPr>
            </w:pPr>
            <w:r w:rsidRPr="004E7695">
              <w:rPr>
                <w:rFonts w:cs="Arial"/>
                <w:b/>
                <w:bCs/>
              </w:rPr>
              <w:t>Title</w:t>
            </w:r>
          </w:p>
        </w:tc>
      </w:tr>
      <w:tr w:rsidR="001171E6" w14:paraId="3998190E" w14:textId="77777777" w:rsidTr="00C742D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AD2FEA9" w14:textId="39C0A206" w:rsidR="001171E6" w:rsidRPr="00436D5A" w:rsidRDefault="000F3638" w:rsidP="00C742DC">
            <w:pPr>
              <w:pStyle w:val="Title3"/>
              <w:spacing w:beforeLines="60" w:before="144" w:afterLines="60" w:after="144"/>
              <w:jc w:val="left"/>
              <w:rPr>
                <w:rFonts w:cs="Arial"/>
                <w:i/>
              </w:rPr>
            </w:pPr>
            <w:hyperlink w:anchor="_Minister_for_Immigration," w:history="1">
              <w:r w:rsidR="001171E6" w:rsidRPr="006159EF">
                <w:rPr>
                  <w:rStyle w:val="Hyperlink"/>
                  <w:i/>
                  <w:noProof w:val="0"/>
                </w:rPr>
                <w:t>Minister for Immigration, Citizenship, Migrant Services and Multicultural Affairs &amp; Anor v Montgomery</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B8071BC" w14:textId="219D1222" w:rsidR="001171E6" w:rsidRDefault="001171E6" w:rsidP="00C742DC">
            <w:pPr>
              <w:pStyle w:val="Title3"/>
              <w:spacing w:beforeLines="60" w:before="144" w:afterLines="60" w:after="144"/>
              <w:jc w:val="left"/>
              <w:rPr>
                <w:rFonts w:cs="Arial"/>
              </w:rPr>
            </w:pPr>
            <w:r>
              <w:rPr>
                <w:rFonts w:cs="Arial"/>
              </w:rPr>
              <w:t xml:space="preserve">Constitutional Law </w:t>
            </w:r>
          </w:p>
        </w:tc>
      </w:tr>
    </w:tbl>
    <w:p w14:paraId="72F3591D" w14:textId="77777777" w:rsidR="003A04E9" w:rsidRPr="0052418C" w:rsidRDefault="003A04E9" w:rsidP="0052418C">
      <w:pPr>
        <w:rPr>
          <w:noProof/>
        </w:rPr>
      </w:pPr>
    </w:p>
    <w:p w14:paraId="50EDA434" w14:textId="49648461" w:rsidR="00786E14" w:rsidRPr="004E7695" w:rsidRDefault="000F3638"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0" w:name="_1:_Cases_Handed_2"/>
      <w:bookmarkStart w:id="31" w:name="_2:_Cases_Handed"/>
      <w:bookmarkStart w:id="32" w:name="_Ref474760566"/>
      <w:bookmarkStart w:id="33" w:name="_Toc479608273"/>
      <w:bookmarkStart w:id="34" w:name="_Toc10095962"/>
      <w:bookmarkEnd w:id="30"/>
      <w:bookmarkEnd w:id="31"/>
      <w:r w:rsidRPr="004E7695">
        <w:lastRenderedPageBreak/>
        <w:t>2</w:t>
      </w:r>
      <w:r w:rsidR="00AE64B2" w:rsidRPr="004E7695">
        <w:t>: Cases Handed Down</w:t>
      </w:r>
      <w:bookmarkEnd w:id="19"/>
      <w:bookmarkEnd w:id="20"/>
      <w:bookmarkEnd w:id="28"/>
      <w:bookmarkEnd w:id="32"/>
      <w:bookmarkEnd w:id="33"/>
      <w:bookmarkEnd w:id="34"/>
    </w:p>
    <w:bookmarkEnd w:id="29"/>
    <w:p w14:paraId="2E0D8865" w14:textId="77777777" w:rsidR="00AE64B2" w:rsidRPr="004E7695" w:rsidRDefault="00AE64B2" w:rsidP="00AE64B2">
      <w:pPr>
        <w:rPr>
          <w:rFonts w:cs="Arial"/>
        </w:rPr>
      </w:pPr>
    </w:p>
    <w:p w14:paraId="5836589E" w14:textId="4AEF0CB9" w:rsidR="004A45F8" w:rsidRPr="004E7695" w:rsidRDefault="00AE64B2" w:rsidP="00775A5B">
      <w:pPr>
        <w:pStyle w:val="Title3"/>
        <w:rPr>
          <w:rFonts w:cs="Arial"/>
        </w:rPr>
      </w:pPr>
      <w:bookmarkStart w:id="35" w:name="_Toc209266109"/>
      <w:r w:rsidRPr="004E7695">
        <w:rPr>
          <w:rFonts w:cs="Arial"/>
        </w:rPr>
        <w:t>The following cases were handed down by the High Court of Australia during the</w:t>
      </w:r>
      <w:r w:rsidR="00DB6D00" w:rsidRPr="004E7695">
        <w:rPr>
          <w:rFonts w:cs="Arial"/>
        </w:rPr>
        <w:t xml:space="preserve"> </w:t>
      </w:r>
      <w:r w:rsidR="00AC2620">
        <w:rPr>
          <w:rFonts w:cs="Arial"/>
        </w:rPr>
        <w:t>August</w:t>
      </w:r>
      <w:r w:rsidR="001F73B4">
        <w:rPr>
          <w:rFonts w:cs="Arial"/>
        </w:rPr>
        <w:t xml:space="preserve"> 2022</w:t>
      </w:r>
      <w:r w:rsidR="00C31FFC" w:rsidRPr="004E7695">
        <w:rPr>
          <w:rFonts w:cs="Arial"/>
        </w:rPr>
        <w:t xml:space="preserve"> </w:t>
      </w:r>
      <w:r w:rsidRPr="004E7695">
        <w:rPr>
          <w:rFonts w:cs="Arial"/>
        </w:rPr>
        <w:t>sittings.</w:t>
      </w:r>
      <w:bookmarkStart w:id="36" w:name="_Bell_Group_NV_1"/>
      <w:bookmarkEnd w:id="35"/>
      <w:bookmarkEnd w:id="36"/>
    </w:p>
    <w:p w14:paraId="37F27BA4" w14:textId="77777777" w:rsidR="00AA47D0" w:rsidRPr="004E7695" w:rsidRDefault="00AA47D0" w:rsidP="00AA47D0">
      <w:pPr>
        <w:pStyle w:val="Divider2"/>
        <w:pBdr>
          <w:bottom w:val="double" w:sz="6" w:space="0" w:color="auto"/>
        </w:pBdr>
      </w:pPr>
      <w:bookmarkStart w:id="37" w:name="_Chetcuti_v_Commonwealth_1"/>
      <w:bookmarkStart w:id="38" w:name="_Commonwealth_of_Australia_2"/>
      <w:bookmarkEnd w:id="37"/>
      <w:bookmarkEnd w:id="38"/>
    </w:p>
    <w:p w14:paraId="2BF76448" w14:textId="1C707F23" w:rsidR="00B127D7" w:rsidRDefault="00B127D7" w:rsidP="00B127D7"/>
    <w:p w14:paraId="4CC28D1F" w14:textId="77777777" w:rsidR="002052C8" w:rsidRPr="004E7695" w:rsidRDefault="002052C8" w:rsidP="002052C8">
      <w:pPr>
        <w:pStyle w:val="Heading2"/>
      </w:pPr>
      <w:r>
        <w:t>Administrative Law</w:t>
      </w:r>
    </w:p>
    <w:p w14:paraId="5EACB926" w14:textId="77777777" w:rsidR="002052C8" w:rsidRDefault="002052C8" w:rsidP="002052C8"/>
    <w:p w14:paraId="2347CD4F" w14:textId="77777777" w:rsidR="002052C8" w:rsidRDefault="002052C8" w:rsidP="002052C8">
      <w:pPr>
        <w:pStyle w:val="Heading3"/>
      </w:pPr>
      <w:bookmarkStart w:id="39" w:name="_Davis_v_Minister"/>
      <w:bookmarkStart w:id="40" w:name="_Nathanson_v_Minister"/>
      <w:bookmarkEnd w:id="39"/>
      <w:bookmarkEnd w:id="40"/>
      <w:r w:rsidRPr="002052C8">
        <w:t>Nathanson</w:t>
      </w:r>
      <w:r>
        <w:t xml:space="preserve"> v Minister for Home Affairs &amp; Anor</w:t>
      </w:r>
    </w:p>
    <w:p w14:paraId="149C15C3" w14:textId="175BF4B5" w:rsidR="002052C8" w:rsidRPr="00B127D7" w:rsidRDefault="000F3638" w:rsidP="002052C8">
      <w:pPr>
        <w:rPr>
          <w:bCs/>
        </w:rPr>
      </w:pPr>
      <w:hyperlink r:id="rId11" w:history="1">
        <w:r w:rsidR="002052C8" w:rsidRPr="007F5E98">
          <w:rPr>
            <w:rStyle w:val="Hyperlink"/>
            <w:rFonts w:cs="Verdana"/>
            <w:b/>
            <w:noProof w:val="0"/>
          </w:rPr>
          <w:t>M73/2021</w:t>
        </w:r>
      </w:hyperlink>
      <w:r w:rsidR="002052C8" w:rsidRPr="00FD4C45">
        <w:rPr>
          <w:b/>
        </w:rPr>
        <w:t>:</w:t>
      </w:r>
      <w:r w:rsidR="002052C8" w:rsidRPr="00FD4C45">
        <w:t xml:space="preserve"> </w:t>
      </w:r>
      <w:hyperlink r:id="rId12" w:history="1">
        <w:r w:rsidR="002052C8" w:rsidRPr="002052C8">
          <w:rPr>
            <w:rStyle w:val="Hyperlink"/>
            <w:rFonts w:cs="Verdana"/>
            <w:noProof w:val="0"/>
          </w:rPr>
          <w:t>[2022] HCA 26</w:t>
        </w:r>
      </w:hyperlink>
      <w:r w:rsidR="002052C8">
        <w:t xml:space="preserve"> </w:t>
      </w:r>
    </w:p>
    <w:p w14:paraId="42FB86F2" w14:textId="77777777" w:rsidR="002052C8" w:rsidRDefault="002052C8" w:rsidP="002052C8"/>
    <w:p w14:paraId="4674D917" w14:textId="3FD72C05" w:rsidR="002052C8" w:rsidRDefault="005C4230" w:rsidP="002052C8">
      <w:r>
        <w:rPr>
          <w:b/>
        </w:rPr>
        <w:t>Judgment</w:t>
      </w:r>
      <w:r w:rsidR="002052C8" w:rsidRPr="00FD4C45">
        <w:rPr>
          <w:b/>
        </w:rPr>
        <w:t xml:space="preserve">: </w:t>
      </w:r>
      <w:r w:rsidR="002052C8" w:rsidRPr="007805B2">
        <w:rPr>
          <w:bCs/>
        </w:rPr>
        <w:t>1</w:t>
      </w:r>
      <w:r>
        <w:rPr>
          <w:bCs/>
        </w:rPr>
        <w:t xml:space="preserve">7 August </w:t>
      </w:r>
      <w:r w:rsidR="002052C8" w:rsidRPr="007805B2">
        <w:rPr>
          <w:bCs/>
        </w:rPr>
        <w:t>2022</w:t>
      </w:r>
    </w:p>
    <w:p w14:paraId="0BB925C5" w14:textId="77777777" w:rsidR="002052C8" w:rsidRDefault="002052C8" w:rsidP="002052C8"/>
    <w:p w14:paraId="58EAA4F2" w14:textId="77777777" w:rsidR="002052C8" w:rsidRPr="00BB0EF9" w:rsidRDefault="002052C8" w:rsidP="002052C8">
      <w:pPr>
        <w:rPr>
          <w:i/>
        </w:rPr>
      </w:pPr>
      <w:r>
        <w:rPr>
          <w:b/>
        </w:rPr>
        <w:t xml:space="preserve">Coram: </w:t>
      </w:r>
      <w:r>
        <w:t xml:space="preserve">Kiefel CJ, Gageler, Keane, Gordon, </w:t>
      </w:r>
      <w:proofErr w:type="gramStart"/>
      <w:r>
        <w:t>Edelman</w:t>
      </w:r>
      <w:proofErr w:type="gramEnd"/>
      <w:r>
        <w:t xml:space="preserve"> and Gleeson JJ</w:t>
      </w:r>
    </w:p>
    <w:p w14:paraId="3CC6C276" w14:textId="77777777" w:rsidR="002052C8" w:rsidRDefault="002052C8" w:rsidP="002052C8"/>
    <w:p w14:paraId="301F0DF2" w14:textId="77777777" w:rsidR="002052C8" w:rsidRPr="004E7695" w:rsidRDefault="002052C8" w:rsidP="002052C8">
      <w:pPr>
        <w:rPr>
          <w:b/>
        </w:rPr>
      </w:pPr>
      <w:r w:rsidRPr="004E7695">
        <w:rPr>
          <w:b/>
        </w:rPr>
        <w:t>Catchwords:</w:t>
      </w:r>
    </w:p>
    <w:p w14:paraId="3266D807" w14:textId="77777777" w:rsidR="002052C8" w:rsidRPr="004E7695" w:rsidRDefault="002052C8" w:rsidP="002052C8">
      <w:pPr>
        <w:rPr>
          <w:b/>
        </w:rPr>
      </w:pPr>
    </w:p>
    <w:p w14:paraId="336D022F" w14:textId="77777777" w:rsidR="002052C8" w:rsidRDefault="002052C8" w:rsidP="002052C8">
      <w:pPr>
        <w:ind w:left="720"/>
      </w:pPr>
      <w:r>
        <w:t xml:space="preserve">Administrative law – Judicial review – Jurisdictional error – Requirement that error must be material – When error will be material – Where appellant's visa cancelled under s 501(3A) of </w:t>
      </w:r>
      <w:r w:rsidRPr="002052C8">
        <w:rPr>
          <w:i/>
          <w:iCs/>
        </w:rPr>
        <w:t>Migration Act 1958</w:t>
      </w:r>
      <w:r>
        <w:t xml:space="preserve"> (Cth) – Where delegate of Minister for Home Affairs decided not to revoke cancellation – Where appellant sought review of non-revocation decision by Administrative Appeals Tribunal ("AAT") – Where AAT denied appellant procedural fairness by not giving opportunity to address relevance of incidents of domestic violence to primary consideration prescribed by direction made under s 499 of Migration Act – Whether denial of procedural fairness material – Whether, in discharging onus, appellant required to establish nature of evidence or submissions that might have been presented had AAT hearing been procedurally fair.</w:t>
      </w:r>
    </w:p>
    <w:p w14:paraId="37E410CB" w14:textId="77777777" w:rsidR="002052C8" w:rsidRDefault="002052C8" w:rsidP="002052C8">
      <w:pPr>
        <w:ind w:left="720"/>
      </w:pPr>
    </w:p>
    <w:p w14:paraId="2E7A5997" w14:textId="6A82D2F6" w:rsidR="002052C8" w:rsidRDefault="002052C8" w:rsidP="002052C8">
      <w:pPr>
        <w:ind w:left="720"/>
      </w:pPr>
      <w:r>
        <w:t xml:space="preserve">Words and phrases – "judicial review", "jurisdictional error", "material", "materiality", "natural justice", "onus of proof", "practical injustice", "procedural fairness", "realistic possibility of a different outcome", "reasonable conjecture". </w:t>
      </w:r>
    </w:p>
    <w:p w14:paraId="26CBAF8D" w14:textId="77777777" w:rsidR="002052C8" w:rsidRPr="004E7695" w:rsidRDefault="002052C8" w:rsidP="002052C8">
      <w:pPr>
        <w:ind w:left="720"/>
      </w:pPr>
    </w:p>
    <w:p w14:paraId="6F1A88D0" w14:textId="174573FF" w:rsidR="002052C8" w:rsidRDefault="002052C8" w:rsidP="002052C8">
      <w:r w:rsidRPr="004E7695">
        <w:rPr>
          <w:b/>
        </w:rPr>
        <w:t xml:space="preserve">Appealed from </w:t>
      </w:r>
      <w:r>
        <w:rPr>
          <w:b/>
        </w:rPr>
        <w:t>FCA (FC)</w:t>
      </w:r>
      <w:r w:rsidRPr="004E7695">
        <w:rPr>
          <w:b/>
        </w:rPr>
        <w:t>:</w:t>
      </w:r>
      <w:r w:rsidRPr="008D117E">
        <w:t xml:space="preserve"> </w:t>
      </w:r>
      <w:hyperlink r:id="rId13" w:history="1">
        <w:r w:rsidRPr="00274450">
          <w:rPr>
            <w:rStyle w:val="Hyperlink"/>
            <w:rFonts w:cs="Verdana"/>
            <w:noProof w:val="0"/>
          </w:rPr>
          <w:t>[2020] FCAFC 172</w:t>
        </w:r>
      </w:hyperlink>
      <w:r>
        <w:t xml:space="preserve">; (2020) 281 FCR 23; </w:t>
      </w:r>
      <w:r w:rsidRPr="00F802EB">
        <w:t>(2020) 171 ALD 497</w:t>
      </w:r>
    </w:p>
    <w:p w14:paraId="5E7FADBD" w14:textId="63391D06" w:rsidR="00FE455B" w:rsidRDefault="00FE455B" w:rsidP="002052C8"/>
    <w:p w14:paraId="211B6891" w14:textId="2BD0AEE6" w:rsidR="00FE455B" w:rsidRPr="00FE455B" w:rsidRDefault="00FE455B" w:rsidP="002052C8">
      <w:r>
        <w:rPr>
          <w:b/>
          <w:bCs/>
        </w:rPr>
        <w:t xml:space="preserve">Held: </w:t>
      </w:r>
      <w:r>
        <w:t xml:space="preserve">Appeal allowed with costs. </w:t>
      </w:r>
    </w:p>
    <w:p w14:paraId="67FF9689" w14:textId="77777777" w:rsidR="002052C8" w:rsidRPr="004E7695" w:rsidRDefault="002052C8" w:rsidP="002052C8">
      <w:bookmarkStart w:id="41" w:name="_SDCV_v_Director-General"/>
      <w:bookmarkEnd w:id="41"/>
    </w:p>
    <w:p w14:paraId="533EF317" w14:textId="77777777" w:rsidR="002052C8" w:rsidRDefault="000F3638" w:rsidP="002052C8">
      <w:pPr>
        <w:rPr>
          <w:rStyle w:val="Hyperlink"/>
          <w:rFonts w:cs="Verdana"/>
          <w:bCs/>
        </w:rPr>
      </w:pPr>
      <w:hyperlink w:anchor="TOP" w:history="1">
        <w:r w:rsidR="002052C8" w:rsidRPr="004E7695">
          <w:rPr>
            <w:rStyle w:val="Hyperlink"/>
            <w:rFonts w:cs="Verdana"/>
            <w:bCs/>
          </w:rPr>
          <w:t>Return to Top</w:t>
        </w:r>
      </w:hyperlink>
    </w:p>
    <w:p w14:paraId="46FA84CD" w14:textId="77777777" w:rsidR="002052C8" w:rsidRPr="004E7695" w:rsidRDefault="002052C8" w:rsidP="002052C8">
      <w:pPr>
        <w:pStyle w:val="Divider2"/>
        <w:pBdr>
          <w:bottom w:val="double" w:sz="6" w:space="0" w:color="auto"/>
        </w:pBdr>
      </w:pPr>
    </w:p>
    <w:p w14:paraId="24A70E26" w14:textId="77777777" w:rsidR="002052C8" w:rsidRDefault="002052C8" w:rsidP="00B127D7"/>
    <w:p w14:paraId="2096485C" w14:textId="0F71DD5A" w:rsidR="007A2937" w:rsidRDefault="007A2937" w:rsidP="007A2937">
      <w:pPr>
        <w:pStyle w:val="Heading2"/>
      </w:pPr>
      <w:bookmarkStart w:id="42" w:name="_Hlk106350549"/>
      <w:r>
        <w:t>C</w:t>
      </w:r>
      <w:r w:rsidR="00A70194">
        <w:t xml:space="preserve">onstitutional </w:t>
      </w:r>
      <w:r w:rsidR="006033CF">
        <w:t>L</w:t>
      </w:r>
      <w:r w:rsidR="00A70194">
        <w:t xml:space="preserve">aw </w:t>
      </w:r>
    </w:p>
    <w:p w14:paraId="4062BC47" w14:textId="40EB845A" w:rsidR="007A2937" w:rsidRDefault="007A2937" w:rsidP="007A2937"/>
    <w:p w14:paraId="3DD4B508" w14:textId="77777777" w:rsidR="00C71529" w:rsidRDefault="00C71529" w:rsidP="00C71529">
      <w:pPr>
        <w:pStyle w:val="Heading3"/>
      </w:pPr>
      <w:bookmarkStart w:id="43" w:name="_Farm_Transparency_International_2"/>
      <w:bookmarkEnd w:id="43"/>
      <w:r w:rsidRPr="00B924E4">
        <w:t>Farm Transparency International Ltd &amp; Anor v State of New South Wales</w:t>
      </w:r>
    </w:p>
    <w:p w14:paraId="2431D1A5" w14:textId="45B7E813" w:rsidR="00C71529" w:rsidRPr="00D831C7" w:rsidRDefault="000F3638" w:rsidP="00C71529">
      <w:hyperlink r:id="rId14" w:history="1">
        <w:r w:rsidR="00C71529" w:rsidRPr="00B924E4">
          <w:rPr>
            <w:rStyle w:val="Hyperlink"/>
            <w:rFonts w:cs="Verdana"/>
            <w:b/>
            <w:noProof w:val="0"/>
          </w:rPr>
          <w:t>S83/2021</w:t>
        </w:r>
      </w:hyperlink>
      <w:hyperlink r:id="rId15" w:history="1"/>
      <w:r w:rsidR="00C71529" w:rsidRPr="00D0009F">
        <w:rPr>
          <w:b/>
        </w:rPr>
        <w:t>:</w:t>
      </w:r>
      <w:r w:rsidR="00C71529">
        <w:rPr>
          <w:b/>
        </w:rPr>
        <w:t xml:space="preserve"> </w:t>
      </w:r>
      <w:hyperlink r:id="rId16" w:history="1">
        <w:r w:rsidR="005C70EB" w:rsidRPr="005C70EB">
          <w:rPr>
            <w:rStyle w:val="Hyperlink"/>
            <w:rFonts w:cs="Verdana"/>
            <w:bCs/>
            <w:noProof w:val="0"/>
          </w:rPr>
          <w:t>[2022] HCA 23</w:t>
        </w:r>
      </w:hyperlink>
    </w:p>
    <w:p w14:paraId="26446356" w14:textId="77777777" w:rsidR="00C71529" w:rsidRDefault="00C71529" w:rsidP="00C71529"/>
    <w:p w14:paraId="28A39D28" w14:textId="65973CA9" w:rsidR="00C71529" w:rsidRDefault="00C71529" w:rsidP="00C71529">
      <w:r>
        <w:rPr>
          <w:b/>
        </w:rPr>
        <w:t>Jud</w:t>
      </w:r>
      <w:r w:rsidR="005C70EB">
        <w:rPr>
          <w:b/>
        </w:rPr>
        <w:t>g</w:t>
      </w:r>
      <w:r>
        <w:rPr>
          <w:b/>
        </w:rPr>
        <w:t>ment</w:t>
      </w:r>
      <w:r w:rsidRPr="00FD4C45">
        <w:rPr>
          <w:b/>
        </w:rPr>
        <w:t xml:space="preserve">: </w:t>
      </w:r>
      <w:r>
        <w:rPr>
          <w:bCs/>
        </w:rPr>
        <w:t xml:space="preserve">10 </w:t>
      </w:r>
      <w:r w:rsidR="005C70EB">
        <w:rPr>
          <w:bCs/>
        </w:rPr>
        <w:t xml:space="preserve">August 2022 </w:t>
      </w:r>
    </w:p>
    <w:p w14:paraId="27D0C2E0" w14:textId="77777777" w:rsidR="00C71529" w:rsidRDefault="00C71529" w:rsidP="00C71529"/>
    <w:p w14:paraId="0ED0DFD3" w14:textId="77777777" w:rsidR="00C71529" w:rsidRPr="00BB0EF9" w:rsidRDefault="00C71529" w:rsidP="00C71529">
      <w:pPr>
        <w:rPr>
          <w:i/>
        </w:rPr>
      </w:pPr>
      <w:r>
        <w:rPr>
          <w:b/>
        </w:rPr>
        <w:t xml:space="preserve">Coram: </w:t>
      </w:r>
      <w:r>
        <w:t>Kiefel CJ, Gageler, Keane, Gordon, Edelman, Steward and Gleeson JJ</w:t>
      </w:r>
    </w:p>
    <w:p w14:paraId="7E2749F6" w14:textId="77777777" w:rsidR="00C71529" w:rsidRPr="004E7695" w:rsidRDefault="00C71529" w:rsidP="00C71529"/>
    <w:p w14:paraId="444D57EE" w14:textId="77777777" w:rsidR="00C71529" w:rsidRPr="004E7695" w:rsidRDefault="00C71529" w:rsidP="00C71529">
      <w:pPr>
        <w:rPr>
          <w:b/>
        </w:rPr>
      </w:pPr>
      <w:r w:rsidRPr="004E7695">
        <w:rPr>
          <w:b/>
        </w:rPr>
        <w:t>Catchwords:</w:t>
      </w:r>
    </w:p>
    <w:p w14:paraId="66331F26" w14:textId="77777777" w:rsidR="00C71529" w:rsidRPr="004E7695" w:rsidRDefault="00C71529" w:rsidP="00C71529">
      <w:pPr>
        <w:rPr>
          <w:b/>
        </w:rPr>
      </w:pPr>
    </w:p>
    <w:p w14:paraId="74C996D7" w14:textId="77777777" w:rsidR="005C70EB" w:rsidRDefault="005C70EB" w:rsidP="005C70EB">
      <w:pPr>
        <w:ind w:left="720"/>
      </w:pPr>
      <w:r>
        <w:t xml:space="preserve">Constitutional law (Cth) – Implied freedom of communication about governmental or political matters – Where s 8 of </w:t>
      </w:r>
      <w:r w:rsidRPr="005C70EB">
        <w:rPr>
          <w:i/>
          <w:iCs/>
        </w:rPr>
        <w:t>Surveillance Devices Act 2007</w:t>
      </w:r>
      <w:r>
        <w:t xml:space="preserve"> (NSW) ("SD Act") relevantly prohibited knowing installation, use or maintenance of optical surveillance device on or within premises to record visually or observe carrying on of activity if installation, use or maintenance of device involved trespass – Where ss 11 and 12 of SD Act prohibited, respectively, publication or communication of record or report, and possession of record, obtained in contravention of, relevantly, s 8 of SD Act – Whether ss 11 and 12 burdened implied freedom – Whether provisions for legitimate purpose – Whether provisions suitable, necessary and adequate in balance.</w:t>
      </w:r>
    </w:p>
    <w:p w14:paraId="51DA4266" w14:textId="77777777" w:rsidR="005C70EB" w:rsidRDefault="005C70EB" w:rsidP="005C70EB">
      <w:pPr>
        <w:ind w:left="720"/>
      </w:pPr>
    </w:p>
    <w:p w14:paraId="74ACB568" w14:textId="75FEFA6E" w:rsidR="005C70EB" w:rsidRDefault="005C70EB" w:rsidP="005C70EB">
      <w:pPr>
        <w:ind w:left="720"/>
      </w:pPr>
      <w:r>
        <w:t>Words and phrases – "adequate in its balance", "breach of confidence", "burden", "complicit in trespass", "implied freedom of political communication", "incremental burden", "lawful activity", "legitimate purpose", "</w:t>
      </w:r>
      <w:proofErr w:type="spellStart"/>
      <w:r>
        <w:t>mens</w:t>
      </w:r>
      <w:proofErr w:type="spellEnd"/>
      <w:r>
        <w:t xml:space="preserve"> rea", "optical surveillance device", "partially disapplied", "privacy", "public interest", "reasonably necessary", "structured proportionality", "suitable", "surveillance devices", "trespass".</w:t>
      </w:r>
    </w:p>
    <w:p w14:paraId="481DBCC2" w14:textId="77777777" w:rsidR="005C70EB" w:rsidRDefault="005C70EB" w:rsidP="005C70EB">
      <w:pPr>
        <w:ind w:left="720"/>
      </w:pPr>
    </w:p>
    <w:p w14:paraId="69F0F9FB" w14:textId="3D322762" w:rsidR="005C70EB" w:rsidRDefault="005C70EB" w:rsidP="005C70EB">
      <w:pPr>
        <w:ind w:left="720"/>
      </w:pPr>
      <w:r w:rsidRPr="005C70EB">
        <w:rPr>
          <w:i/>
          <w:iCs/>
        </w:rPr>
        <w:t>Surveillance Devices Act 2007</w:t>
      </w:r>
      <w:r>
        <w:t xml:space="preserve"> (NSW), ss 8, 11, 12.</w:t>
      </w:r>
    </w:p>
    <w:p w14:paraId="50FA258C" w14:textId="77777777" w:rsidR="00C71529" w:rsidRDefault="00C71529" w:rsidP="00C71529"/>
    <w:p w14:paraId="277F5FB3" w14:textId="7E8B7290" w:rsidR="00C71529" w:rsidRDefault="00C71529" w:rsidP="00C71529">
      <w:pPr>
        <w:rPr>
          <w:iCs/>
        </w:rPr>
      </w:pPr>
      <w:r>
        <w:rPr>
          <w:i/>
        </w:rPr>
        <w:t>Special case referred to the Full Court on 27 September 2021.</w:t>
      </w:r>
    </w:p>
    <w:p w14:paraId="46B6F61F" w14:textId="2246A783" w:rsidR="00902EA9" w:rsidRDefault="00902EA9" w:rsidP="00C71529">
      <w:pPr>
        <w:rPr>
          <w:iCs/>
        </w:rPr>
      </w:pPr>
    </w:p>
    <w:p w14:paraId="0B950B15" w14:textId="2CBE0610" w:rsidR="00902EA9" w:rsidRPr="00902EA9" w:rsidRDefault="00902EA9" w:rsidP="00C71529">
      <w:pPr>
        <w:rPr>
          <w:iCs/>
        </w:rPr>
      </w:pPr>
      <w:r>
        <w:rPr>
          <w:b/>
          <w:bCs/>
          <w:iCs/>
        </w:rPr>
        <w:t xml:space="preserve">Held: </w:t>
      </w:r>
      <w:r>
        <w:rPr>
          <w:iCs/>
        </w:rPr>
        <w:t xml:space="preserve">Special case answered. </w:t>
      </w:r>
    </w:p>
    <w:p w14:paraId="5C8728D2" w14:textId="77777777" w:rsidR="00C71529" w:rsidRPr="004E7695" w:rsidRDefault="00C71529" w:rsidP="00C71529"/>
    <w:p w14:paraId="4835F57A" w14:textId="77777777" w:rsidR="00C71529" w:rsidRDefault="000F3638" w:rsidP="00C71529">
      <w:pPr>
        <w:rPr>
          <w:rStyle w:val="Hyperlink"/>
          <w:rFonts w:cs="Verdana"/>
          <w:bCs/>
        </w:rPr>
      </w:pPr>
      <w:hyperlink w:anchor="TOP" w:history="1">
        <w:r w:rsidR="00C71529" w:rsidRPr="004E7695">
          <w:rPr>
            <w:rStyle w:val="Hyperlink"/>
            <w:rFonts w:cs="Verdana"/>
            <w:bCs/>
          </w:rPr>
          <w:t>Return to Top</w:t>
        </w:r>
      </w:hyperlink>
    </w:p>
    <w:p w14:paraId="59172674" w14:textId="77777777" w:rsidR="00C71529" w:rsidRPr="004E7695" w:rsidRDefault="00C71529" w:rsidP="007F6A74">
      <w:pPr>
        <w:pStyle w:val="Divider2"/>
      </w:pPr>
    </w:p>
    <w:p w14:paraId="77EF9930" w14:textId="77777777" w:rsidR="00C71529" w:rsidRDefault="00C71529" w:rsidP="007A2937"/>
    <w:p w14:paraId="7F84BD50" w14:textId="77777777" w:rsidR="00F10FF5" w:rsidRDefault="00F10FF5" w:rsidP="00F10FF5">
      <w:pPr>
        <w:pStyle w:val="Heading2"/>
        <w:rPr>
          <w:rFonts w:eastAsia="Arial Unicode MS" w:cs="Arial Unicode MS"/>
          <w:lang w:val="en-US"/>
        </w:rPr>
      </w:pPr>
      <w:r>
        <w:rPr>
          <w:rFonts w:eastAsia="Arial Unicode MS" w:cs="Arial Unicode MS"/>
          <w:lang w:val="en-US"/>
        </w:rPr>
        <w:t xml:space="preserve">Criminal Law </w:t>
      </w:r>
    </w:p>
    <w:p w14:paraId="5365226D" w14:textId="77777777" w:rsidR="00F10FF5" w:rsidRDefault="00F10FF5" w:rsidP="00F10FF5">
      <w:bookmarkStart w:id="44" w:name="_Dansie_v_The_1"/>
      <w:bookmarkStart w:id="45" w:name="_Hlk100557052"/>
      <w:bookmarkEnd w:id="44"/>
    </w:p>
    <w:p w14:paraId="69E693B3" w14:textId="77777777" w:rsidR="00F10FF5" w:rsidRDefault="00F10FF5" w:rsidP="00F10FF5">
      <w:pPr>
        <w:pStyle w:val="Heading3"/>
      </w:pPr>
      <w:bookmarkStart w:id="46" w:name="_O'Dea_v_The_1"/>
      <w:bookmarkEnd w:id="46"/>
      <w:r>
        <w:rPr>
          <w:rFonts w:eastAsia="Arial Unicode MS" w:cs="Arial Unicode MS"/>
          <w:lang w:val="en-US"/>
        </w:rPr>
        <w:t>O'Dea</w:t>
      </w:r>
      <w:r>
        <w:rPr>
          <w:rFonts w:eastAsia="Arial Unicode MS" w:cs="Arial Unicode MS"/>
        </w:rPr>
        <w:t xml:space="preserve"> v The </w:t>
      </w:r>
      <w:r>
        <w:rPr>
          <w:rFonts w:eastAsia="Arial Unicode MS" w:cs="Arial Unicode MS"/>
          <w:lang w:val="en-US"/>
        </w:rPr>
        <w:t>State of Western Australia</w:t>
      </w:r>
    </w:p>
    <w:p w14:paraId="4DBD2DA4" w14:textId="49099E7F" w:rsidR="00F10FF5" w:rsidRDefault="000F3638" w:rsidP="00F10FF5">
      <w:pPr>
        <w:pStyle w:val="Body"/>
      </w:pPr>
      <w:hyperlink r:id="rId17" w:history="1">
        <w:r w:rsidR="00F10FF5">
          <w:rPr>
            <w:rStyle w:val="Hyperlink2"/>
            <w:rFonts w:eastAsia="Arial Unicode MS" w:cs="Arial Unicode MS"/>
            <w:lang w:val="en-US"/>
          </w:rPr>
          <w:t>P53/2021</w:t>
        </w:r>
      </w:hyperlink>
      <w:r w:rsidR="00F10FF5" w:rsidRPr="003413F7">
        <w:rPr>
          <w:rFonts w:eastAsia="Arial Unicode MS" w:cs="Arial Unicode MS"/>
          <w:b/>
          <w:bCs/>
        </w:rPr>
        <w:t>:</w:t>
      </w:r>
      <w:r w:rsidR="00F10FF5">
        <w:rPr>
          <w:rFonts w:eastAsia="Arial Unicode MS" w:cs="Arial Unicode MS"/>
        </w:rPr>
        <w:t xml:space="preserve"> </w:t>
      </w:r>
      <w:bookmarkStart w:id="47" w:name="_Hlk102642046"/>
      <w:r w:rsidR="005C70EB">
        <w:rPr>
          <w:rFonts w:eastAsia="Arial Unicode MS" w:cs="Arial Unicode MS"/>
        </w:rPr>
        <w:fldChar w:fldCharType="begin"/>
      </w:r>
      <w:r w:rsidR="005C70EB">
        <w:rPr>
          <w:rFonts w:eastAsia="Arial Unicode MS" w:cs="Arial Unicode MS"/>
        </w:rPr>
        <w:instrText xml:space="preserve"> HYPERLINK "https://eresources.hcourt.gov.au/downloadPdf/2022/HCA/24" </w:instrText>
      </w:r>
      <w:r w:rsidR="005C70EB">
        <w:rPr>
          <w:rFonts w:eastAsia="Arial Unicode MS" w:cs="Arial Unicode MS"/>
        </w:rPr>
        <w:fldChar w:fldCharType="separate"/>
      </w:r>
      <w:r w:rsidR="005C70EB" w:rsidRPr="005C70EB">
        <w:rPr>
          <w:rStyle w:val="Hyperlink"/>
          <w:rFonts w:eastAsia="Arial Unicode MS" w:cs="Arial Unicode MS"/>
          <w:noProof w:val="0"/>
        </w:rPr>
        <w:t>[2022] HCA 24</w:t>
      </w:r>
      <w:r w:rsidR="005C70EB">
        <w:rPr>
          <w:rFonts w:eastAsia="Arial Unicode MS" w:cs="Arial Unicode MS"/>
        </w:rPr>
        <w:fldChar w:fldCharType="end"/>
      </w:r>
    </w:p>
    <w:p w14:paraId="6D8CD0D4" w14:textId="77777777" w:rsidR="00F10FF5" w:rsidRDefault="00F10FF5" w:rsidP="00F10FF5">
      <w:pPr>
        <w:pStyle w:val="Body"/>
      </w:pPr>
    </w:p>
    <w:p w14:paraId="4E345691" w14:textId="6FB1188F" w:rsidR="00F10FF5" w:rsidRDefault="00C71529" w:rsidP="00F10FF5">
      <w:pPr>
        <w:pStyle w:val="Body"/>
        <w:rPr>
          <w:rFonts w:eastAsia="Arial Unicode MS" w:cs="Arial Unicode MS"/>
          <w:lang w:val="en-US"/>
        </w:rPr>
      </w:pPr>
      <w:r>
        <w:rPr>
          <w:rStyle w:val="PageNumber"/>
          <w:rFonts w:eastAsia="Arial Unicode MS" w:cs="Arial Unicode MS"/>
          <w:b/>
          <w:bCs/>
          <w:lang w:val="en-US"/>
        </w:rPr>
        <w:t>Judgment</w:t>
      </w:r>
      <w:r w:rsidR="00F10FF5">
        <w:rPr>
          <w:rStyle w:val="PageNumber"/>
          <w:rFonts w:eastAsia="Arial Unicode MS" w:cs="Arial Unicode MS"/>
          <w:b/>
          <w:bCs/>
          <w:lang w:val="en-US"/>
        </w:rPr>
        <w:t>:</w:t>
      </w:r>
      <w:r w:rsidR="00F10FF5">
        <w:rPr>
          <w:rFonts w:eastAsia="Arial Unicode MS" w:cs="Arial Unicode MS"/>
        </w:rPr>
        <w:t xml:space="preserve"> </w:t>
      </w:r>
      <w:r>
        <w:rPr>
          <w:rFonts w:eastAsia="Arial Unicode MS" w:cs="Arial Unicode MS"/>
          <w:lang w:val="en-US"/>
        </w:rPr>
        <w:t>10 August</w:t>
      </w:r>
      <w:r w:rsidR="00F10FF5">
        <w:rPr>
          <w:rFonts w:eastAsia="Arial Unicode MS" w:cs="Arial Unicode MS"/>
          <w:lang w:val="en-US"/>
        </w:rPr>
        <w:t xml:space="preserve"> 2022</w:t>
      </w:r>
    </w:p>
    <w:p w14:paraId="48E9D4C3" w14:textId="77777777" w:rsidR="00F10FF5" w:rsidRDefault="00F10FF5" w:rsidP="00F10FF5">
      <w:pPr>
        <w:pStyle w:val="Body"/>
        <w:rPr>
          <w:rFonts w:eastAsia="Arial Unicode MS" w:cs="Arial Unicode MS"/>
          <w:lang w:val="en-US"/>
        </w:rPr>
      </w:pPr>
    </w:p>
    <w:p w14:paraId="4D941FBF" w14:textId="77777777" w:rsidR="00F10FF5" w:rsidRPr="0071714F" w:rsidRDefault="00F10FF5" w:rsidP="00F10FF5">
      <w:pPr>
        <w:pStyle w:val="Body"/>
        <w:rPr>
          <w:i/>
        </w:rPr>
      </w:pPr>
      <w:r>
        <w:rPr>
          <w:rFonts w:eastAsia="Arial Unicode MS" w:cs="Arial Unicode MS"/>
          <w:b/>
          <w:bCs/>
          <w:lang w:val="en-US"/>
        </w:rPr>
        <w:t>Coram:</w:t>
      </w:r>
      <w:r>
        <w:rPr>
          <w:rFonts w:eastAsia="Arial Unicode MS" w:cs="Arial Unicode MS"/>
          <w:lang w:val="en-US"/>
        </w:rPr>
        <w:t xml:space="preserve"> </w:t>
      </w:r>
      <w:r w:rsidRPr="0071714F">
        <w:rPr>
          <w:rFonts w:eastAsia="Arial Unicode MS" w:cs="Arial Unicode MS"/>
          <w:lang w:val="en-US"/>
        </w:rPr>
        <w:t xml:space="preserve">Kiefel CJ, Gageler, Gordon, </w:t>
      </w:r>
      <w:proofErr w:type="gramStart"/>
      <w:r w:rsidRPr="0071714F">
        <w:rPr>
          <w:rFonts w:eastAsia="Arial Unicode MS" w:cs="Arial Unicode MS"/>
          <w:lang w:val="en-US"/>
        </w:rPr>
        <w:t>Edelman</w:t>
      </w:r>
      <w:proofErr w:type="gramEnd"/>
      <w:r>
        <w:rPr>
          <w:rFonts w:eastAsia="Arial Unicode MS" w:cs="Arial Unicode MS"/>
          <w:lang w:val="en-US"/>
        </w:rPr>
        <w:t xml:space="preserve"> and</w:t>
      </w:r>
      <w:r w:rsidRPr="0071714F">
        <w:rPr>
          <w:rFonts w:eastAsia="Arial Unicode MS" w:cs="Arial Unicode MS"/>
          <w:lang w:val="en-US"/>
        </w:rPr>
        <w:t xml:space="preserve"> Steward JJ</w:t>
      </w:r>
    </w:p>
    <w:bookmarkEnd w:id="47"/>
    <w:p w14:paraId="4692B33C" w14:textId="77777777" w:rsidR="00F10FF5" w:rsidRDefault="00F10FF5" w:rsidP="00F10FF5">
      <w:pPr>
        <w:pStyle w:val="Body"/>
      </w:pPr>
    </w:p>
    <w:p w14:paraId="04F2DE44" w14:textId="77777777" w:rsidR="00F10FF5" w:rsidRDefault="00F10FF5" w:rsidP="00F10FF5">
      <w:pPr>
        <w:pStyle w:val="Body"/>
        <w:rPr>
          <w:rStyle w:val="PageNumber"/>
          <w:b/>
          <w:bCs/>
        </w:rPr>
      </w:pPr>
      <w:r>
        <w:rPr>
          <w:rStyle w:val="PageNumber"/>
          <w:rFonts w:eastAsia="Arial Unicode MS" w:cs="Arial Unicode MS"/>
          <w:b/>
          <w:bCs/>
          <w:lang w:val="de-DE"/>
        </w:rPr>
        <w:t>Catchwords:</w:t>
      </w:r>
    </w:p>
    <w:p w14:paraId="74458588" w14:textId="77777777" w:rsidR="00F10FF5" w:rsidRDefault="00F10FF5" w:rsidP="00F10FF5">
      <w:pPr>
        <w:pStyle w:val="Body"/>
        <w:rPr>
          <w:b/>
          <w:bCs/>
        </w:rPr>
      </w:pPr>
    </w:p>
    <w:p w14:paraId="2605BE6F" w14:textId="77777777" w:rsidR="00F10FF5" w:rsidRPr="00F10FF5" w:rsidRDefault="00F10FF5" w:rsidP="00F10FF5">
      <w:pPr>
        <w:pStyle w:val="Body"/>
        <w:ind w:left="720"/>
        <w:rPr>
          <w:lang w:val="en-US"/>
        </w:rPr>
      </w:pPr>
      <w:r w:rsidRPr="00F10FF5">
        <w:rPr>
          <w:lang w:val="en-US"/>
        </w:rPr>
        <w:t xml:space="preserve">Criminal law – Parties to offence – Principal offenders – Where appellant and another charged jointly with offence of unlawfully doing </w:t>
      </w:r>
      <w:r w:rsidRPr="00F10FF5">
        <w:rPr>
          <w:lang w:val="en-US"/>
        </w:rPr>
        <w:lastRenderedPageBreak/>
        <w:t xml:space="preserve">grievous bodily harm with intent under s 294(1)(a) of </w:t>
      </w:r>
      <w:r w:rsidRPr="00F10FF5">
        <w:rPr>
          <w:i/>
          <w:iCs/>
          <w:lang w:val="en-US"/>
        </w:rPr>
        <w:t>Criminal Code</w:t>
      </w:r>
      <w:r w:rsidRPr="00F10FF5">
        <w:rPr>
          <w:lang w:val="en-US"/>
        </w:rPr>
        <w:t xml:space="preserve"> (WA) – Where prosecution relied on s 7(a) of </w:t>
      </w:r>
      <w:r w:rsidRPr="00F10FF5">
        <w:rPr>
          <w:i/>
          <w:iCs/>
          <w:lang w:val="en-US"/>
        </w:rPr>
        <w:t>Criminal Code</w:t>
      </w:r>
      <w:r w:rsidRPr="00F10FF5">
        <w:rPr>
          <w:lang w:val="en-US"/>
        </w:rPr>
        <w:t>, which deems "[e]very person who actually does the act … which constitutes the offence" to be guilty of offence – Where uncertainty as to which act or acts of appellant or co-accused, or combination of their acts, caused grievous bodily harm – Where trial judge relevantly directed jury they could convict appellant under s 7(a) if satisfied beyond reasonable doubt that appellant and co-accused were "acting in concert, each of them doing one or more of the acts which caused" grievous bodily harm and that "[t]he relevant accused's acts were unlawful" – Whether s 7(a) permits acts of person to be attributed to another – Whether jury direction occasioned miscarriage of justice.</w:t>
      </w:r>
    </w:p>
    <w:p w14:paraId="0722D0E3" w14:textId="77777777" w:rsidR="00F10FF5" w:rsidRDefault="00F10FF5" w:rsidP="00F10FF5">
      <w:pPr>
        <w:pStyle w:val="Body"/>
        <w:ind w:left="720"/>
        <w:rPr>
          <w:lang w:val="en-US"/>
        </w:rPr>
      </w:pPr>
    </w:p>
    <w:p w14:paraId="45675FD9" w14:textId="0BEFBC98" w:rsidR="00F10FF5" w:rsidRPr="00F10FF5" w:rsidRDefault="00F10FF5" w:rsidP="00F10FF5">
      <w:pPr>
        <w:pStyle w:val="Body"/>
        <w:ind w:left="720"/>
        <w:rPr>
          <w:lang w:val="en-US"/>
        </w:rPr>
      </w:pPr>
      <w:r w:rsidRPr="00F10FF5">
        <w:rPr>
          <w:lang w:val="en-US"/>
        </w:rPr>
        <w:t>Words and phrases – "acting in concert", "actually does the act", "attribution", "criminal responsibility", "deemed to have taken part in committing the offence", "parties to offence", "principal in the first degree", "principal offender", "unlawful common purpose".</w:t>
      </w:r>
    </w:p>
    <w:p w14:paraId="6B0A39C2" w14:textId="77777777" w:rsidR="00F10FF5" w:rsidRDefault="00F10FF5" w:rsidP="00F10FF5">
      <w:pPr>
        <w:pStyle w:val="Body"/>
        <w:ind w:left="720"/>
        <w:rPr>
          <w:lang w:val="en-US"/>
        </w:rPr>
      </w:pPr>
    </w:p>
    <w:p w14:paraId="40B65BC5" w14:textId="5DB45ABF" w:rsidR="00F10FF5" w:rsidRDefault="00F10FF5" w:rsidP="00F10FF5">
      <w:pPr>
        <w:pStyle w:val="Body"/>
        <w:ind w:left="720"/>
        <w:rPr>
          <w:lang w:val="en-US"/>
        </w:rPr>
      </w:pPr>
      <w:r w:rsidRPr="00F10FF5">
        <w:rPr>
          <w:i/>
          <w:iCs/>
          <w:lang w:val="en-US"/>
        </w:rPr>
        <w:t>Criminal Code</w:t>
      </w:r>
      <w:r w:rsidRPr="00F10FF5">
        <w:rPr>
          <w:lang w:val="en-US"/>
        </w:rPr>
        <w:t xml:space="preserve"> (WA), s 7(a).</w:t>
      </w:r>
    </w:p>
    <w:p w14:paraId="759C6586" w14:textId="77777777" w:rsidR="00F10FF5" w:rsidRDefault="00F10FF5" w:rsidP="00F10FF5">
      <w:pPr>
        <w:pStyle w:val="Body"/>
        <w:ind w:left="720"/>
      </w:pPr>
    </w:p>
    <w:p w14:paraId="2EEB71EE" w14:textId="07E5ACF8" w:rsidR="00F10FF5" w:rsidRDefault="00F10FF5" w:rsidP="00F10FF5">
      <w:pPr>
        <w:pStyle w:val="Body"/>
        <w:rPr>
          <w:lang w:val="en-US"/>
        </w:rPr>
      </w:pPr>
      <w:r>
        <w:rPr>
          <w:rStyle w:val="PageNumber"/>
          <w:rFonts w:eastAsia="Arial Unicode MS" w:cs="Arial Unicode MS"/>
          <w:b/>
          <w:bCs/>
          <w:lang w:val="en-US"/>
        </w:rPr>
        <w:t>Appealed from WASC</w:t>
      </w:r>
      <w:r>
        <w:rPr>
          <w:rStyle w:val="PageNumber"/>
          <w:rFonts w:eastAsia="Arial Unicode MS" w:cs="Arial Unicode MS"/>
          <w:b/>
          <w:bCs/>
        </w:rPr>
        <w:t xml:space="preserve"> (CA):</w:t>
      </w:r>
      <w:r>
        <w:rPr>
          <w:rFonts w:eastAsia="Arial Unicode MS" w:cs="Arial Unicode MS"/>
        </w:rPr>
        <w:t xml:space="preserve"> </w:t>
      </w:r>
      <w:hyperlink r:id="rId18" w:history="1">
        <w:r>
          <w:rPr>
            <w:rStyle w:val="Link"/>
            <w:rFonts w:eastAsia="Arial Unicode MS" w:cs="Arial Unicode MS"/>
            <w:lang w:val="en-US"/>
          </w:rPr>
          <w:t>[2021] WASCA 61</w:t>
        </w:r>
      </w:hyperlink>
      <w:r>
        <w:rPr>
          <w:rFonts w:eastAsia="Arial Unicode MS" w:cs="Arial Unicode MS"/>
          <w:lang w:val="en-US"/>
        </w:rPr>
        <w:t xml:space="preserve">; </w:t>
      </w:r>
      <w:r w:rsidR="005E3E92">
        <w:rPr>
          <w:rFonts w:eastAsia="Arial Unicode MS" w:cs="Arial Unicode MS"/>
          <w:lang w:val="en-US"/>
        </w:rPr>
        <w:t xml:space="preserve">(2021) 57 WAR 229; </w:t>
      </w:r>
      <w:r>
        <w:rPr>
          <w:lang w:val="en-US"/>
        </w:rPr>
        <w:t>(2021) 288 A Crim R 451</w:t>
      </w:r>
    </w:p>
    <w:p w14:paraId="112963B0" w14:textId="7031BFB4" w:rsidR="00FE455B" w:rsidRDefault="00FE455B" w:rsidP="00F10FF5">
      <w:pPr>
        <w:pStyle w:val="Body"/>
        <w:rPr>
          <w:lang w:val="en-US"/>
        </w:rPr>
      </w:pPr>
    </w:p>
    <w:p w14:paraId="3F94618A" w14:textId="05D4149F" w:rsidR="00FE455B" w:rsidRPr="00FE455B" w:rsidRDefault="00FE455B" w:rsidP="00F10FF5">
      <w:pPr>
        <w:pStyle w:val="Body"/>
      </w:pPr>
      <w:r>
        <w:rPr>
          <w:b/>
          <w:bCs/>
          <w:lang w:val="en-US"/>
        </w:rPr>
        <w:t>Held:</w:t>
      </w:r>
      <w:r>
        <w:rPr>
          <w:lang w:val="en-US"/>
        </w:rPr>
        <w:t xml:space="preserve"> Appeal allowed.</w:t>
      </w:r>
    </w:p>
    <w:p w14:paraId="5B915BF1" w14:textId="77777777" w:rsidR="008D5B13" w:rsidRPr="00E064DF" w:rsidRDefault="008D5B13" w:rsidP="008D5B13">
      <w:bookmarkStart w:id="48" w:name="_Alexander_v_Minister"/>
      <w:bookmarkEnd w:id="42"/>
      <w:bookmarkEnd w:id="45"/>
      <w:bookmarkEnd w:id="48"/>
    </w:p>
    <w:p w14:paraId="72810902" w14:textId="77777777" w:rsidR="008D5B13" w:rsidRPr="002314BE" w:rsidRDefault="000F3638" w:rsidP="008D5B13">
      <w:hyperlink w:anchor="TOP" w:history="1">
        <w:r w:rsidR="008D5B13" w:rsidRPr="004E7695">
          <w:rPr>
            <w:rStyle w:val="Hyperlink"/>
            <w:rFonts w:cs="Verdana"/>
            <w:bCs/>
          </w:rPr>
          <w:t>Return to Top</w:t>
        </w:r>
      </w:hyperlink>
    </w:p>
    <w:p w14:paraId="5B439779" w14:textId="1DB42F46" w:rsidR="008D5B13" w:rsidRDefault="008D5B13" w:rsidP="008D5B13">
      <w:pPr>
        <w:pStyle w:val="Divider2"/>
        <w:pBdr>
          <w:bottom w:val="double" w:sz="6" w:space="0" w:color="auto"/>
        </w:pBdr>
      </w:pPr>
    </w:p>
    <w:p w14:paraId="24865331" w14:textId="77777777" w:rsidR="00C71529" w:rsidRPr="00C71529" w:rsidRDefault="00C71529" w:rsidP="00C71529"/>
    <w:p w14:paraId="76866A98" w14:textId="77362813" w:rsidR="00C71529" w:rsidRPr="00C71529" w:rsidRDefault="00C71529" w:rsidP="00C71529">
      <w:pPr>
        <w:pStyle w:val="Heading2"/>
      </w:pPr>
      <w:r>
        <w:t>Criminal Practice</w:t>
      </w:r>
    </w:p>
    <w:p w14:paraId="6E52F2E1" w14:textId="77777777" w:rsidR="00C71529" w:rsidRPr="00C71529" w:rsidRDefault="00C71529" w:rsidP="00C71529"/>
    <w:p w14:paraId="7F3C902E" w14:textId="77777777" w:rsidR="00C71529" w:rsidRPr="00D0009F" w:rsidRDefault="00C71529" w:rsidP="00C71529">
      <w:pPr>
        <w:pStyle w:val="Heading3"/>
      </w:pPr>
      <w:bookmarkStart w:id="49" w:name="_Dansie_v_The_2"/>
      <w:bookmarkEnd w:id="49"/>
      <w:proofErr w:type="spellStart"/>
      <w:r>
        <w:t>Dansie</w:t>
      </w:r>
      <w:proofErr w:type="spellEnd"/>
      <w:r>
        <w:t xml:space="preserve"> v The Queen</w:t>
      </w:r>
    </w:p>
    <w:p w14:paraId="51742B06" w14:textId="285E5DB7" w:rsidR="00C71529" w:rsidRDefault="000F3638" w:rsidP="00C71529">
      <w:hyperlink r:id="rId19" w:history="1">
        <w:r w:rsidR="00C71529" w:rsidRPr="004B0445">
          <w:rPr>
            <w:rStyle w:val="Hyperlink"/>
            <w:rFonts w:cs="Verdana"/>
            <w:b/>
            <w:noProof w:val="0"/>
          </w:rPr>
          <w:t>A4/2022</w:t>
        </w:r>
      </w:hyperlink>
      <w:hyperlink r:id="rId20" w:history="1"/>
      <w:r w:rsidR="00C71529" w:rsidRPr="00D0009F">
        <w:rPr>
          <w:b/>
        </w:rPr>
        <w:t>:</w:t>
      </w:r>
      <w:r w:rsidR="00C71529">
        <w:t xml:space="preserve"> </w:t>
      </w:r>
      <w:hyperlink r:id="rId21" w:history="1">
        <w:r w:rsidR="00C71529" w:rsidRPr="00C71529">
          <w:rPr>
            <w:rStyle w:val="Hyperlink"/>
            <w:rFonts w:cs="Verdana"/>
            <w:noProof w:val="0"/>
          </w:rPr>
          <w:t>[2022] HCA 25</w:t>
        </w:r>
      </w:hyperlink>
    </w:p>
    <w:p w14:paraId="70A357D3" w14:textId="77777777" w:rsidR="00C71529" w:rsidRDefault="00C71529" w:rsidP="00C71529"/>
    <w:p w14:paraId="456D20E7" w14:textId="115B141E" w:rsidR="00C71529" w:rsidRDefault="00C71529" w:rsidP="00C71529">
      <w:pPr>
        <w:rPr>
          <w:rFonts w:eastAsia="Arial Unicode MS" w:cs="Arial Unicode MS"/>
        </w:rPr>
      </w:pPr>
      <w:r>
        <w:rPr>
          <w:b/>
        </w:rPr>
        <w:t>Judgment</w:t>
      </w:r>
      <w:r w:rsidRPr="004E7695">
        <w:rPr>
          <w:b/>
        </w:rPr>
        <w:t>:</w:t>
      </w:r>
      <w:r w:rsidRPr="00FC0B58">
        <w:t xml:space="preserve"> </w:t>
      </w:r>
      <w:r>
        <w:rPr>
          <w:rFonts w:eastAsia="Arial Unicode MS" w:cs="Arial Unicode MS"/>
        </w:rPr>
        <w:t>10 August 2022</w:t>
      </w:r>
    </w:p>
    <w:p w14:paraId="06942373" w14:textId="77777777" w:rsidR="00C71529" w:rsidRDefault="00C71529" w:rsidP="00C71529">
      <w:pPr>
        <w:rPr>
          <w:rFonts w:eastAsia="Arial Unicode MS" w:cs="Arial Unicode MS"/>
        </w:rPr>
      </w:pPr>
    </w:p>
    <w:p w14:paraId="7C20AAF8" w14:textId="77777777" w:rsidR="00C71529" w:rsidRPr="00744391" w:rsidRDefault="00C71529" w:rsidP="00C71529">
      <w:r>
        <w:rPr>
          <w:rFonts w:eastAsia="Arial Unicode MS" w:cs="Arial Unicode MS"/>
          <w:b/>
          <w:bCs/>
        </w:rPr>
        <w:t xml:space="preserve">Coram: </w:t>
      </w:r>
      <w:r>
        <w:rPr>
          <w:rFonts w:eastAsia="Arial Unicode MS" w:cs="Arial Unicode MS"/>
        </w:rPr>
        <w:t xml:space="preserve">Gageler, Keane, Gordon, Steward and Gleeson JJ </w:t>
      </w:r>
    </w:p>
    <w:p w14:paraId="0C4BF524" w14:textId="77777777" w:rsidR="00C71529" w:rsidRPr="004E7695" w:rsidRDefault="00C71529" w:rsidP="00C71529"/>
    <w:p w14:paraId="59082218" w14:textId="77777777" w:rsidR="00C71529" w:rsidRPr="004E7695" w:rsidRDefault="00C71529" w:rsidP="00C71529">
      <w:pPr>
        <w:rPr>
          <w:b/>
        </w:rPr>
      </w:pPr>
      <w:r w:rsidRPr="004E7695">
        <w:rPr>
          <w:b/>
        </w:rPr>
        <w:t>Catchwords:</w:t>
      </w:r>
    </w:p>
    <w:p w14:paraId="2810DF84" w14:textId="77777777" w:rsidR="00C71529" w:rsidRPr="004E7695" w:rsidRDefault="00C71529" w:rsidP="00C71529">
      <w:pPr>
        <w:rPr>
          <w:b/>
        </w:rPr>
      </w:pPr>
    </w:p>
    <w:p w14:paraId="0843899A" w14:textId="77777777" w:rsidR="00C71529" w:rsidRDefault="00C71529" w:rsidP="00C71529">
      <w:pPr>
        <w:ind w:left="720"/>
      </w:pPr>
      <w:r>
        <w:t xml:space="preserve">Criminal practice – Appeal – Where appellant tried and convicted of murder of wife by judge alone in Supreme Court of South Australia – Where appellant appealed conviction on ground that verdict unreasonable or could not be supported having regard to whole of evidence – Whether Full Court of Supreme Court of South Australia sitting as Court of Criminal Appeal misapplied test in </w:t>
      </w:r>
      <w:r w:rsidRPr="005C70EB">
        <w:rPr>
          <w:i/>
          <w:iCs/>
        </w:rPr>
        <w:t xml:space="preserve">M v The Queen </w:t>
      </w:r>
      <w:r>
        <w:t>(1994) 181 CLR 487 – Function of court of criminal appeal determining appeal against conviction on unreasonableness ground following trial by judge alone.</w:t>
      </w:r>
    </w:p>
    <w:p w14:paraId="7FBE3673" w14:textId="77777777" w:rsidR="00C71529" w:rsidRDefault="00C71529" w:rsidP="00C71529">
      <w:pPr>
        <w:ind w:left="720"/>
      </w:pPr>
    </w:p>
    <w:p w14:paraId="22029424" w14:textId="21B6E00E" w:rsidR="00C71529" w:rsidRDefault="00C71529" w:rsidP="00C71529">
      <w:pPr>
        <w:ind w:left="720"/>
      </w:pPr>
      <w:r>
        <w:t xml:space="preserve">Words and phrases – "advantage in seeing and hearing the evidence", "circumstantial case", "function of a court of criminal </w:t>
      </w:r>
      <w:r>
        <w:lastRenderedPageBreak/>
        <w:t>appeal", "independent assessment of the evidence", "inference of guilt", "jury questions", "pathway to proof of guilt", "unreasonable verdict", "unreasonableness ground".</w:t>
      </w:r>
    </w:p>
    <w:p w14:paraId="74CA73A7" w14:textId="77777777" w:rsidR="00C71529" w:rsidRDefault="00C71529" w:rsidP="00C71529">
      <w:pPr>
        <w:ind w:left="720"/>
      </w:pPr>
    </w:p>
    <w:p w14:paraId="62209552" w14:textId="3F3BD0EA" w:rsidR="00C71529" w:rsidRDefault="00C71529" w:rsidP="00C71529">
      <w:pPr>
        <w:ind w:left="720"/>
      </w:pPr>
      <w:r w:rsidRPr="005C70EB">
        <w:rPr>
          <w:i/>
          <w:iCs/>
        </w:rPr>
        <w:t>Criminal Procedure Act 1921</w:t>
      </w:r>
      <w:r>
        <w:t xml:space="preserve"> (SA), s 158(1)(a).</w:t>
      </w:r>
    </w:p>
    <w:p w14:paraId="1752627E" w14:textId="77777777" w:rsidR="00C71529" w:rsidRPr="004E7695" w:rsidRDefault="00C71529" w:rsidP="00C71529">
      <w:pPr>
        <w:ind w:left="720"/>
      </w:pPr>
    </w:p>
    <w:p w14:paraId="4E9935B1" w14:textId="77777777" w:rsidR="00C71529" w:rsidRDefault="00C71529" w:rsidP="00C71529">
      <w:r w:rsidRPr="004E7695">
        <w:rPr>
          <w:b/>
        </w:rPr>
        <w:t>Appealed from</w:t>
      </w:r>
      <w:r>
        <w:rPr>
          <w:b/>
        </w:rPr>
        <w:t xml:space="preserve"> SASC (CCA):</w:t>
      </w:r>
      <w:r>
        <w:t xml:space="preserve"> </w:t>
      </w:r>
      <w:hyperlink r:id="rId22" w:history="1">
        <w:r w:rsidRPr="00A321B6">
          <w:rPr>
            <w:rStyle w:val="Hyperlink"/>
            <w:rFonts w:cs="Verdana"/>
            <w:noProof w:val="0"/>
          </w:rPr>
          <w:t>[2020] SASCFC 103</w:t>
        </w:r>
      </w:hyperlink>
    </w:p>
    <w:p w14:paraId="66ADB0CC" w14:textId="2DD954F1" w:rsidR="00C71529" w:rsidRDefault="00C71529" w:rsidP="00C71529"/>
    <w:p w14:paraId="059C6488" w14:textId="16451CEF" w:rsidR="00EF6DCC" w:rsidRPr="00EF6DCC" w:rsidRDefault="00EF6DCC" w:rsidP="00C71529">
      <w:r>
        <w:rPr>
          <w:b/>
          <w:bCs/>
        </w:rPr>
        <w:t xml:space="preserve">Held: </w:t>
      </w:r>
      <w:r>
        <w:t xml:space="preserve">Appeal allowed. </w:t>
      </w:r>
    </w:p>
    <w:p w14:paraId="58B9A87C" w14:textId="77777777" w:rsidR="00EF6DCC" w:rsidRPr="004E7695" w:rsidRDefault="00EF6DCC" w:rsidP="00C71529"/>
    <w:p w14:paraId="306478B9" w14:textId="77777777" w:rsidR="00C71529" w:rsidRDefault="000F3638" w:rsidP="00C71529">
      <w:hyperlink w:anchor="TOP" w:history="1">
        <w:r w:rsidR="00C71529" w:rsidRPr="004E7695">
          <w:rPr>
            <w:rStyle w:val="Hyperlink"/>
            <w:rFonts w:cs="Verdana"/>
            <w:bCs/>
          </w:rPr>
          <w:t>Return to Top</w:t>
        </w:r>
      </w:hyperlink>
    </w:p>
    <w:p w14:paraId="1978194A" w14:textId="525C8351" w:rsidR="00C71529" w:rsidRDefault="00C71529" w:rsidP="002052C8">
      <w:pPr>
        <w:pStyle w:val="Divider2"/>
      </w:pPr>
    </w:p>
    <w:p w14:paraId="44755AA2" w14:textId="77777777" w:rsidR="002052C8" w:rsidRPr="0071714F" w:rsidRDefault="002052C8" w:rsidP="002052C8">
      <w:pPr>
        <w:rPr>
          <w:rFonts w:eastAsia="Arial Unicode MS"/>
          <w:lang w:val="en-US"/>
        </w:rPr>
      </w:pPr>
    </w:p>
    <w:p w14:paraId="6522D3E3" w14:textId="77777777" w:rsidR="002052C8" w:rsidRDefault="002052C8" w:rsidP="002052C8">
      <w:pPr>
        <w:pStyle w:val="Heading2"/>
      </w:pPr>
      <w:r>
        <w:rPr>
          <w:rFonts w:eastAsia="Arial Unicode MS" w:cs="Arial Unicode MS"/>
          <w:lang w:val="en-US"/>
        </w:rPr>
        <w:t>Defamation</w:t>
      </w:r>
    </w:p>
    <w:p w14:paraId="04279FE8" w14:textId="77777777" w:rsidR="002052C8" w:rsidRDefault="002052C8" w:rsidP="002052C8"/>
    <w:p w14:paraId="7F2E4518" w14:textId="77777777" w:rsidR="002052C8" w:rsidRDefault="002052C8" w:rsidP="002052C8">
      <w:pPr>
        <w:pStyle w:val="Heading3"/>
      </w:pPr>
      <w:bookmarkStart w:id="50" w:name="_Google_LLC_v"/>
      <w:bookmarkEnd w:id="50"/>
      <w:r w:rsidRPr="002052C8">
        <w:rPr>
          <w:rFonts w:eastAsia="Arial Unicode MS" w:cs="Arial Unicode MS"/>
          <w:lang w:val="en-US"/>
        </w:rPr>
        <w:t xml:space="preserve">Google LLC v </w:t>
      </w:r>
      <w:proofErr w:type="spellStart"/>
      <w:r w:rsidRPr="002052C8">
        <w:rPr>
          <w:rFonts w:eastAsia="Arial Unicode MS" w:cs="Arial Unicode MS"/>
          <w:lang w:val="en-US"/>
        </w:rPr>
        <w:t>Defteros</w:t>
      </w:r>
      <w:proofErr w:type="spellEnd"/>
      <w:r>
        <w:rPr>
          <w:rFonts w:eastAsia="Arial Unicode MS" w:cs="Arial Unicode MS"/>
          <w:lang w:val="en-US"/>
        </w:rPr>
        <w:t xml:space="preserve"> </w:t>
      </w:r>
    </w:p>
    <w:p w14:paraId="2D1DA44E" w14:textId="14196FDF" w:rsidR="002052C8" w:rsidRPr="0071714F" w:rsidRDefault="000F3638" w:rsidP="002052C8">
      <w:pPr>
        <w:pStyle w:val="Body"/>
      </w:pPr>
      <w:hyperlink r:id="rId23" w:history="1">
        <w:r w:rsidR="002052C8" w:rsidRPr="00F802EB">
          <w:rPr>
            <w:rStyle w:val="Hyperlink2"/>
            <w:rFonts w:eastAsia="Arial Unicode MS" w:cs="Arial Unicode MS"/>
            <w:lang w:val="en-US"/>
          </w:rPr>
          <w:t>M86/2021</w:t>
        </w:r>
      </w:hyperlink>
      <w:r w:rsidR="002052C8">
        <w:rPr>
          <w:rFonts w:eastAsia="Arial Unicode MS" w:cs="Arial Unicode MS"/>
          <w:b/>
          <w:bCs/>
          <w:lang w:val="en-US"/>
        </w:rPr>
        <w:t xml:space="preserve">: </w:t>
      </w:r>
      <w:hyperlink r:id="rId24" w:history="1">
        <w:r w:rsidR="002052C8" w:rsidRPr="003E3040">
          <w:rPr>
            <w:rStyle w:val="Hyperlink"/>
            <w:rFonts w:cs="Verdana"/>
            <w:noProof w:val="0"/>
          </w:rPr>
          <w:t>[2022] HCA 27</w:t>
        </w:r>
      </w:hyperlink>
      <w:r w:rsidR="002052C8">
        <w:t xml:space="preserve"> </w:t>
      </w:r>
    </w:p>
    <w:p w14:paraId="6534FE1B" w14:textId="77777777" w:rsidR="002052C8" w:rsidRDefault="002052C8" w:rsidP="002052C8">
      <w:pPr>
        <w:pStyle w:val="Body"/>
      </w:pPr>
    </w:p>
    <w:p w14:paraId="3D052D5F" w14:textId="3B3C0A13" w:rsidR="002052C8" w:rsidRDefault="003E3040" w:rsidP="002052C8">
      <w:pPr>
        <w:pStyle w:val="Body"/>
        <w:rPr>
          <w:rStyle w:val="PageNumber"/>
          <w:rFonts w:eastAsia="Arial Unicode MS" w:cs="Arial Unicode MS"/>
          <w:iCs/>
          <w:lang w:val="en-US"/>
        </w:rPr>
      </w:pPr>
      <w:r>
        <w:rPr>
          <w:rStyle w:val="PageNumber"/>
          <w:rFonts w:eastAsia="Arial Unicode MS" w:cs="Arial Unicode MS"/>
          <w:b/>
          <w:bCs/>
          <w:lang w:val="en-US"/>
        </w:rPr>
        <w:t>Judgment</w:t>
      </w:r>
      <w:r w:rsidR="002052C8">
        <w:rPr>
          <w:rStyle w:val="PageNumber"/>
          <w:rFonts w:eastAsia="Arial Unicode MS" w:cs="Arial Unicode MS"/>
          <w:b/>
          <w:bCs/>
          <w:lang w:val="en-US"/>
        </w:rPr>
        <w:t>:</w:t>
      </w:r>
      <w:r w:rsidR="002052C8">
        <w:rPr>
          <w:rFonts w:eastAsia="Arial Unicode MS" w:cs="Arial Unicode MS"/>
        </w:rPr>
        <w:t xml:space="preserve"> </w:t>
      </w:r>
      <w:r>
        <w:rPr>
          <w:rFonts w:eastAsia="Arial Unicode MS" w:cs="Arial Unicode MS"/>
        </w:rPr>
        <w:t>17 August</w:t>
      </w:r>
      <w:r w:rsidR="002052C8">
        <w:rPr>
          <w:rFonts w:eastAsia="Arial Unicode MS" w:cs="Arial Unicode MS"/>
          <w:lang w:val="en-US"/>
        </w:rPr>
        <w:t xml:space="preserve"> 2022</w:t>
      </w:r>
    </w:p>
    <w:p w14:paraId="0AAA6E01" w14:textId="77777777" w:rsidR="002052C8" w:rsidRDefault="002052C8" w:rsidP="002052C8">
      <w:pPr>
        <w:pStyle w:val="Body"/>
        <w:rPr>
          <w:rStyle w:val="PageNumber"/>
          <w:rFonts w:eastAsia="Arial Unicode MS" w:cs="Arial Unicode MS"/>
          <w:iCs/>
          <w:lang w:val="en-US"/>
        </w:rPr>
      </w:pPr>
    </w:p>
    <w:p w14:paraId="474AE3B2" w14:textId="77777777" w:rsidR="002052C8" w:rsidRPr="00F970F9" w:rsidRDefault="002052C8" w:rsidP="002052C8">
      <w:r w:rsidRPr="00F970F9">
        <w:rPr>
          <w:rFonts w:eastAsia="Arial Unicode MS"/>
          <w:b/>
          <w:bCs/>
        </w:rPr>
        <w:t>Coram:</w:t>
      </w:r>
      <w:r w:rsidRPr="00F970F9">
        <w:rPr>
          <w:rFonts w:eastAsia="Arial Unicode MS"/>
        </w:rPr>
        <w:t xml:space="preserve"> Kiefel CJ, Gageler, Keane, Gordon, Edelman, Steward and Gleeson JJ</w:t>
      </w:r>
    </w:p>
    <w:p w14:paraId="1F0DFA82" w14:textId="77777777" w:rsidR="002052C8" w:rsidRDefault="002052C8" w:rsidP="002052C8">
      <w:pPr>
        <w:pStyle w:val="Body"/>
      </w:pPr>
    </w:p>
    <w:p w14:paraId="765014B5" w14:textId="77777777" w:rsidR="002052C8" w:rsidRDefault="002052C8" w:rsidP="002052C8">
      <w:pPr>
        <w:pStyle w:val="Body"/>
        <w:rPr>
          <w:rStyle w:val="PageNumber"/>
          <w:b/>
          <w:bCs/>
        </w:rPr>
      </w:pPr>
      <w:r>
        <w:rPr>
          <w:rStyle w:val="PageNumber"/>
          <w:rFonts w:eastAsia="Arial Unicode MS" w:cs="Arial Unicode MS"/>
          <w:b/>
          <w:bCs/>
          <w:lang w:val="de-DE"/>
        </w:rPr>
        <w:t>Catchwords:</w:t>
      </w:r>
    </w:p>
    <w:p w14:paraId="79374888" w14:textId="77777777" w:rsidR="002052C8" w:rsidRDefault="002052C8" w:rsidP="002052C8">
      <w:pPr>
        <w:pStyle w:val="Body"/>
      </w:pPr>
    </w:p>
    <w:p w14:paraId="1ECE483A" w14:textId="77777777" w:rsidR="003E3040" w:rsidRPr="003E3040" w:rsidRDefault="003E3040" w:rsidP="003E3040">
      <w:pPr>
        <w:pStyle w:val="Body"/>
        <w:ind w:left="720"/>
        <w:rPr>
          <w:rFonts w:eastAsia="Arial Unicode MS" w:cs="Arial Unicode MS"/>
          <w:lang w:val="en-US"/>
        </w:rPr>
      </w:pPr>
      <w:r w:rsidRPr="003E3040">
        <w:rPr>
          <w:rFonts w:eastAsia="Arial Unicode MS" w:cs="Arial Unicode MS"/>
          <w:lang w:val="en-US"/>
        </w:rPr>
        <w:t>Defamation – Publication – Where appellant operated internet search engine – Where search engine produced search results to users in response to user-designed search queries through use of computer programs and algorithms – Where each search result relevantly comprised title of webpage, snippet of content, and hyperlink to another webpage on World Wide Web – Where inputting respondent's name into search engine returned search result ("Search Result"), which included hyperlink to article published on newspaper's website containing matter defamatory of respondent – Where defamatory matter not reproduced in Search Result – Whether appellant "publisher" of defamatory matter – Whether providing Search Result amounted to act of participation in communication of defamatory matter to third party.</w:t>
      </w:r>
    </w:p>
    <w:p w14:paraId="0C7AD311" w14:textId="77777777" w:rsidR="003E3040" w:rsidRDefault="003E3040" w:rsidP="003E3040">
      <w:pPr>
        <w:pStyle w:val="Body"/>
        <w:ind w:left="720"/>
        <w:rPr>
          <w:rFonts w:eastAsia="Arial Unicode MS" w:cs="Arial Unicode MS"/>
          <w:lang w:val="en-US"/>
        </w:rPr>
      </w:pPr>
    </w:p>
    <w:p w14:paraId="1B406534" w14:textId="7224E53A" w:rsidR="002052C8" w:rsidRDefault="003E3040" w:rsidP="003E3040">
      <w:pPr>
        <w:pStyle w:val="Body"/>
        <w:ind w:left="720"/>
        <w:rPr>
          <w:rFonts w:eastAsia="Arial Unicode MS" w:cs="Arial Unicode MS"/>
          <w:lang w:val="en-US"/>
        </w:rPr>
      </w:pPr>
      <w:r w:rsidRPr="003E3040">
        <w:rPr>
          <w:rFonts w:eastAsia="Arial Unicode MS" w:cs="Arial Unicode MS"/>
          <w:lang w:val="en-US"/>
        </w:rPr>
        <w:t>Words and phrases – "act of participation in the communication of defamatory matter to a third party", "content-neutral", "defamation", "Google search engine", "googling", "hyperlink", "incorporation", "incorporation by reference", "instrumental in, or contributes to any extent to, the publication of defamatory matter", "internet search engine", "lends assistance to the publication", "mere reference", "navigate information on the World Wide Web", "publication", "publisher", "search engine", "search query", "search result", "search terms".</w:t>
      </w:r>
    </w:p>
    <w:p w14:paraId="2155C2F5" w14:textId="77777777" w:rsidR="003E3040" w:rsidRDefault="003E3040" w:rsidP="003E3040">
      <w:pPr>
        <w:pStyle w:val="Body"/>
        <w:ind w:left="720"/>
      </w:pPr>
    </w:p>
    <w:p w14:paraId="107736F0" w14:textId="77777777" w:rsidR="002052C8" w:rsidRDefault="002052C8" w:rsidP="002052C8">
      <w:pPr>
        <w:pStyle w:val="Body"/>
      </w:pPr>
      <w:r>
        <w:rPr>
          <w:rStyle w:val="PageNumber"/>
          <w:rFonts w:eastAsia="Arial Unicode MS" w:cs="Arial Unicode MS"/>
          <w:b/>
          <w:bCs/>
          <w:lang w:val="en-US"/>
        </w:rPr>
        <w:t>Appealed from VSC</w:t>
      </w:r>
      <w:r>
        <w:rPr>
          <w:rStyle w:val="PageNumber"/>
          <w:rFonts w:eastAsia="Arial Unicode MS" w:cs="Arial Unicode MS"/>
          <w:b/>
          <w:bCs/>
        </w:rPr>
        <w:t xml:space="preserve"> (C</w:t>
      </w:r>
      <w:r>
        <w:rPr>
          <w:rStyle w:val="PageNumber"/>
          <w:rFonts w:eastAsia="Arial Unicode MS" w:cs="Arial Unicode MS"/>
          <w:b/>
          <w:bCs/>
          <w:lang w:val="en-US"/>
        </w:rPr>
        <w:t>A</w:t>
      </w:r>
      <w:r>
        <w:rPr>
          <w:rStyle w:val="PageNumber"/>
          <w:rFonts w:eastAsia="Arial Unicode MS" w:cs="Arial Unicode MS"/>
          <w:b/>
          <w:bCs/>
        </w:rPr>
        <w:t xml:space="preserve">): </w:t>
      </w:r>
      <w:bookmarkStart w:id="51" w:name="_Hlk92877061"/>
      <w:r>
        <w:fldChar w:fldCharType="begin"/>
      </w:r>
      <w:r>
        <w:instrText xml:space="preserve"> HYPERLINK "https://courts.sdp.sirsidynix.net.au/client/en_AU/llv/search/detailnonmodal/ent:$002f$002fSD_ILS$002f0$002fSD_ILS:886811/one?qu=%5B2021%5D+VSCA+167&amp;te=ILS&amp;lm=LLV_JUDGMENTS" </w:instrText>
      </w:r>
      <w:r>
        <w:fldChar w:fldCharType="separate"/>
      </w:r>
      <w:r>
        <w:rPr>
          <w:rStyle w:val="Link"/>
          <w:rFonts w:eastAsia="Arial Unicode MS" w:cs="Arial Unicode MS"/>
          <w:lang w:val="en-US"/>
        </w:rPr>
        <w:t>[2021] VSCA 167</w:t>
      </w:r>
      <w:r>
        <w:rPr>
          <w:rStyle w:val="Link"/>
          <w:rFonts w:eastAsia="Arial Unicode MS" w:cs="Arial Unicode MS"/>
          <w:lang w:val="en-US"/>
        </w:rPr>
        <w:fldChar w:fldCharType="end"/>
      </w:r>
      <w:bookmarkEnd w:id="51"/>
    </w:p>
    <w:p w14:paraId="48834DC2" w14:textId="4AFCCB99" w:rsidR="002052C8" w:rsidRDefault="002052C8" w:rsidP="002052C8">
      <w:pPr>
        <w:pStyle w:val="Body"/>
      </w:pPr>
    </w:p>
    <w:p w14:paraId="5F1B89F1" w14:textId="346339A6" w:rsidR="001F3CAC" w:rsidRPr="001F3CAC" w:rsidRDefault="001F3CAC" w:rsidP="002052C8">
      <w:pPr>
        <w:pStyle w:val="Body"/>
      </w:pPr>
      <w:r>
        <w:rPr>
          <w:b/>
          <w:bCs/>
        </w:rPr>
        <w:lastRenderedPageBreak/>
        <w:t>Held:</w:t>
      </w:r>
      <w:r>
        <w:t xml:space="preserve"> Appeal allowed</w:t>
      </w:r>
      <w:r w:rsidR="00F00AF5">
        <w:t>; appellant to pay the respondent's costs.</w:t>
      </w:r>
    </w:p>
    <w:p w14:paraId="7A304487" w14:textId="77777777" w:rsidR="001F3CAC" w:rsidRDefault="001F3CAC" w:rsidP="002052C8">
      <w:pPr>
        <w:pStyle w:val="Body"/>
      </w:pPr>
    </w:p>
    <w:p w14:paraId="704AEAA2" w14:textId="77777777" w:rsidR="002052C8" w:rsidRDefault="002052C8" w:rsidP="002052C8">
      <w:pPr>
        <w:pStyle w:val="Body"/>
        <w:rPr>
          <w:rStyle w:val="Link"/>
          <w:rFonts w:eastAsia="Arial Unicode MS" w:cs="Arial Unicode MS"/>
          <w:lang w:val="en-US"/>
        </w:rPr>
      </w:pPr>
      <w:r>
        <w:rPr>
          <w:rStyle w:val="Link"/>
          <w:rFonts w:eastAsia="Arial Unicode MS" w:cs="Arial Unicode MS"/>
          <w:lang w:val="en-US"/>
        </w:rPr>
        <w:t>Return to Top</w:t>
      </w:r>
    </w:p>
    <w:p w14:paraId="05183CEB" w14:textId="77777777" w:rsidR="002052C8" w:rsidRDefault="002052C8" w:rsidP="002052C8">
      <w:pPr>
        <w:pStyle w:val="Divider2"/>
      </w:pPr>
      <w:bookmarkStart w:id="52" w:name="_Construction,_Forestry,_Maritime,"/>
      <w:bookmarkStart w:id="53" w:name="_NSW_Commissioner_of"/>
      <w:bookmarkStart w:id="54" w:name="_Minister_for_Immigration"/>
      <w:bookmarkEnd w:id="52"/>
      <w:bookmarkEnd w:id="53"/>
      <w:bookmarkEnd w:id="54"/>
    </w:p>
    <w:p w14:paraId="42269743" w14:textId="77777777" w:rsidR="00BA10E9" w:rsidRPr="00BA10E9" w:rsidRDefault="00BA10E9" w:rsidP="00BA10E9"/>
    <w:p w14:paraId="4671A6DE" w14:textId="0D14C9F5" w:rsidR="002052C8" w:rsidRDefault="002052C8" w:rsidP="00BA10E9">
      <w:pPr>
        <w:pStyle w:val="Heading2"/>
      </w:pPr>
      <w:r>
        <w:t xml:space="preserve">Immigration </w:t>
      </w:r>
    </w:p>
    <w:p w14:paraId="289A2BD5" w14:textId="77777777" w:rsidR="002052C8" w:rsidRDefault="002052C8" w:rsidP="002052C8"/>
    <w:p w14:paraId="3D904280" w14:textId="77777777" w:rsidR="002052C8" w:rsidRPr="00C0131B" w:rsidRDefault="002052C8" w:rsidP="002052C8">
      <w:pPr>
        <w:pStyle w:val="Heading3"/>
      </w:pPr>
      <w:bookmarkStart w:id="55" w:name="_Tu'uta_Katoa_v"/>
      <w:bookmarkEnd w:id="55"/>
      <w:proofErr w:type="spellStart"/>
      <w:r w:rsidRPr="002052C8">
        <w:t>Tu'uta</w:t>
      </w:r>
      <w:proofErr w:type="spellEnd"/>
      <w:r w:rsidRPr="002052C8">
        <w:t xml:space="preserve"> Katoa v Minister for Immigration, Citizenship, Migrant Services and Multicultural Affairs &amp; Anor</w:t>
      </w:r>
      <w:r>
        <w:t xml:space="preserve"> </w:t>
      </w:r>
    </w:p>
    <w:p w14:paraId="62540436" w14:textId="2463CC1F" w:rsidR="002052C8" w:rsidRDefault="000F3638" w:rsidP="002052C8">
      <w:pPr>
        <w:pStyle w:val="Body"/>
      </w:pPr>
      <w:hyperlink r:id="rId25" w:history="1">
        <w:r w:rsidR="002052C8" w:rsidRPr="00744391">
          <w:rPr>
            <w:rStyle w:val="Hyperlink"/>
            <w:rFonts w:eastAsia="Times New Roman" w:cs="Verdana"/>
            <w:b/>
            <w:noProof w:val="0"/>
            <w:bdr w:val="none" w:sz="0" w:space="0" w:color="auto"/>
            <w:lang w:eastAsia="en-AU"/>
          </w:rPr>
          <w:t>S135/2021</w:t>
        </w:r>
      </w:hyperlink>
      <w:r w:rsidR="002052C8">
        <w:rPr>
          <w:b/>
        </w:rPr>
        <w:t xml:space="preserve">: </w:t>
      </w:r>
      <w:hyperlink r:id="rId26" w:history="1">
        <w:r w:rsidR="002052C8" w:rsidRPr="002052C8">
          <w:rPr>
            <w:rStyle w:val="Hyperlink"/>
            <w:rFonts w:cs="Verdana"/>
            <w:noProof w:val="0"/>
          </w:rPr>
          <w:t>[2022] HCA 28</w:t>
        </w:r>
      </w:hyperlink>
      <w:r w:rsidR="002052C8">
        <w:t xml:space="preserve"> </w:t>
      </w:r>
    </w:p>
    <w:p w14:paraId="4C32720B" w14:textId="77777777" w:rsidR="002052C8" w:rsidRDefault="002052C8" w:rsidP="002052C8">
      <w:pPr>
        <w:pStyle w:val="Body"/>
      </w:pPr>
    </w:p>
    <w:p w14:paraId="464DF573" w14:textId="4E440FEC" w:rsidR="002052C8" w:rsidRDefault="002052C8" w:rsidP="002052C8">
      <w:pPr>
        <w:pStyle w:val="Body"/>
        <w:rPr>
          <w:rFonts w:eastAsia="Arial Unicode MS" w:cs="Arial Unicode MS"/>
          <w:lang w:val="en-US"/>
        </w:rPr>
      </w:pPr>
      <w:r>
        <w:rPr>
          <w:rStyle w:val="PageNumber"/>
          <w:rFonts w:eastAsia="Arial Unicode MS" w:cs="Arial Unicode MS"/>
          <w:b/>
          <w:bCs/>
          <w:lang w:val="en-US"/>
        </w:rPr>
        <w:t>Judgment:</w:t>
      </w:r>
      <w:r>
        <w:rPr>
          <w:rFonts w:eastAsia="Arial Unicode MS" w:cs="Arial Unicode MS"/>
        </w:rPr>
        <w:t xml:space="preserve"> </w:t>
      </w:r>
      <w:r>
        <w:rPr>
          <w:rFonts w:eastAsia="Arial Unicode MS" w:cs="Arial Unicode MS"/>
          <w:lang w:val="en-US"/>
        </w:rPr>
        <w:t>17 August 2022</w:t>
      </w:r>
    </w:p>
    <w:p w14:paraId="37CE145F" w14:textId="77777777" w:rsidR="002052C8" w:rsidRDefault="002052C8" w:rsidP="002052C8">
      <w:pPr>
        <w:pStyle w:val="Body"/>
        <w:rPr>
          <w:rFonts w:eastAsia="Arial Unicode MS" w:cs="Arial Unicode MS"/>
          <w:lang w:val="en-US"/>
        </w:rPr>
      </w:pPr>
    </w:p>
    <w:p w14:paraId="56F88C35" w14:textId="239A9795" w:rsidR="002052C8" w:rsidRPr="002052C8" w:rsidRDefault="002052C8" w:rsidP="002052C8">
      <w:pPr>
        <w:pStyle w:val="Body"/>
        <w:rPr>
          <w:i/>
        </w:rPr>
      </w:pPr>
      <w:r>
        <w:rPr>
          <w:rFonts w:eastAsia="Arial Unicode MS" w:cs="Arial Unicode MS"/>
          <w:b/>
          <w:bCs/>
          <w:lang w:val="en-US"/>
        </w:rPr>
        <w:t>Coram:</w:t>
      </w:r>
      <w:r>
        <w:rPr>
          <w:rFonts w:eastAsia="Arial Unicode MS" w:cs="Arial Unicode MS"/>
          <w:lang w:val="en-US"/>
        </w:rPr>
        <w:t xml:space="preserve"> Kiefel CJ, Gageler, Keane, Gordon, Edelman, Steward and Gleeson JJ</w:t>
      </w:r>
    </w:p>
    <w:p w14:paraId="1827B6AE" w14:textId="77777777" w:rsidR="002052C8" w:rsidRDefault="002052C8" w:rsidP="002052C8"/>
    <w:p w14:paraId="4697FA7E" w14:textId="77777777" w:rsidR="002052C8" w:rsidRDefault="002052C8" w:rsidP="002052C8">
      <w:r>
        <w:rPr>
          <w:b/>
        </w:rPr>
        <w:t>Catchwords:</w:t>
      </w:r>
    </w:p>
    <w:p w14:paraId="4F717FFA" w14:textId="77777777" w:rsidR="002052C8" w:rsidRDefault="002052C8" w:rsidP="002052C8">
      <w:r>
        <w:tab/>
      </w:r>
    </w:p>
    <w:p w14:paraId="1157C6BA" w14:textId="77777777" w:rsidR="002052C8" w:rsidRDefault="002052C8" w:rsidP="002052C8">
      <w:pPr>
        <w:ind w:left="720"/>
      </w:pPr>
      <w:r>
        <w:t xml:space="preserve">Immigration – Visas – Review of cancellation decision – Application for extension of time – Where then Minister for Home Affairs cancelled plaintiff's visa pursuant to s 501(3)(b) of </w:t>
      </w:r>
      <w:r w:rsidRPr="002052C8">
        <w:rPr>
          <w:i/>
          <w:iCs/>
        </w:rPr>
        <w:t>Migration Act 1958</w:t>
      </w:r>
      <w:r>
        <w:t xml:space="preserve"> (Cth) – Where plaintiff applied pursuant to s 477A(2) for extension of time to file application for review of Minister's decision – Where primary judge heard application for extension of time concurrently with underlying substantive application – Where primary judge refused application for extension of time on basis that proposed ground of review had no merit – Whether primary judge misapprehended or misconceived nature of statutory power in s 477A(2) – Whether primary judge committed jurisdictional error – Whether exercise of discretion in s 477A(2) may involve more than impressionistic assessment of merits of proposed grounds of review.</w:t>
      </w:r>
    </w:p>
    <w:p w14:paraId="1FC2F413" w14:textId="77777777" w:rsidR="002052C8" w:rsidRDefault="002052C8" w:rsidP="002052C8">
      <w:pPr>
        <w:ind w:left="720"/>
      </w:pPr>
    </w:p>
    <w:p w14:paraId="6F6F956D" w14:textId="263A25A5" w:rsidR="002052C8" w:rsidRDefault="002052C8" w:rsidP="002052C8">
      <w:pPr>
        <w:ind w:left="720"/>
      </w:pPr>
      <w:r>
        <w:t>Words and phrases – "extension of time", "impressionistic assessment", "jurisdictional error", "misapprehended or misconceived", "necessary in the interests of the administration of justice", "reasonable prospects of success", "reasonably arguable".</w:t>
      </w:r>
    </w:p>
    <w:p w14:paraId="2A5CB84A" w14:textId="77777777" w:rsidR="002052C8" w:rsidRDefault="002052C8" w:rsidP="002052C8">
      <w:pPr>
        <w:ind w:left="720"/>
      </w:pPr>
    </w:p>
    <w:p w14:paraId="03476B97" w14:textId="151A3B2C" w:rsidR="002052C8" w:rsidRPr="00E7743D" w:rsidRDefault="002052C8" w:rsidP="002052C8">
      <w:pPr>
        <w:ind w:left="720"/>
      </w:pPr>
      <w:r w:rsidRPr="002052C8">
        <w:rPr>
          <w:i/>
          <w:iCs/>
        </w:rPr>
        <w:t>Migration Act 1958</w:t>
      </w:r>
      <w:r>
        <w:t xml:space="preserve"> (Cth), ss 476A, 477A.</w:t>
      </w:r>
    </w:p>
    <w:p w14:paraId="5E9D5E0B" w14:textId="77777777" w:rsidR="002052C8" w:rsidRDefault="002052C8" w:rsidP="002052C8"/>
    <w:p w14:paraId="562DA2C3" w14:textId="77777777" w:rsidR="002052C8" w:rsidRDefault="002052C8" w:rsidP="002052C8">
      <w:pPr>
        <w:rPr>
          <w:i/>
        </w:rPr>
      </w:pPr>
      <w:r>
        <w:rPr>
          <w:i/>
        </w:rPr>
        <w:t>Application for constitutional writs referred to the Full Court on 9 December 2021.</w:t>
      </w:r>
    </w:p>
    <w:p w14:paraId="2FC9F9B8" w14:textId="69B589F9" w:rsidR="002052C8" w:rsidRDefault="002052C8" w:rsidP="002052C8"/>
    <w:p w14:paraId="747AF7FC" w14:textId="33ECB56D" w:rsidR="008B6CE3" w:rsidRPr="008B6CE3" w:rsidRDefault="008B6CE3" w:rsidP="002052C8">
      <w:r>
        <w:rPr>
          <w:b/>
          <w:bCs/>
        </w:rPr>
        <w:t>Held:</w:t>
      </w:r>
      <w:r>
        <w:t xml:space="preserve"> Application dismissed with costs.</w:t>
      </w:r>
    </w:p>
    <w:p w14:paraId="0AA18704" w14:textId="77777777" w:rsidR="008B6CE3" w:rsidRPr="00E064DF" w:rsidRDefault="008B6CE3" w:rsidP="002052C8"/>
    <w:p w14:paraId="727DCA61" w14:textId="77777777" w:rsidR="002052C8" w:rsidRDefault="000F3638" w:rsidP="002052C8">
      <w:hyperlink w:anchor="TOP" w:history="1">
        <w:r w:rsidR="002052C8" w:rsidRPr="004E7695">
          <w:rPr>
            <w:rStyle w:val="Hyperlink"/>
            <w:rFonts w:cs="Verdana"/>
            <w:bCs/>
          </w:rPr>
          <w:t>Return to Top</w:t>
        </w:r>
      </w:hyperlink>
    </w:p>
    <w:p w14:paraId="741B01AB" w14:textId="4B1BFA8D" w:rsidR="002052C8" w:rsidRDefault="002052C8" w:rsidP="002052C8">
      <w:pPr>
        <w:pStyle w:val="Divider2"/>
      </w:pPr>
    </w:p>
    <w:p w14:paraId="0B67CFC3" w14:textId="77777777" w:rsidR="002052C8" w:rsidRPr="002052C8" w:rsidRDefault="002052C8" w:rsidP="002052C8"/>
    <w:p w14:paraId="2CBBC90A" w14:textId="57828D40" w:rsidR="00BA10E9" w:rsidRPr="00523623" w:rsidRDefault="00BA10E9" w:rsidP="00BA10E9">
      <w:pPr>
        <w:pStyle w:val="Heading2"/>
      </w:pPr>
      <w:r>
        <w:t>Patents</w:t>
      </w:r>
    </w:p>
    <w:p w14:paraId="3B1C5CF9" w14:textId="77777777" w:rsidR="00BA10E9" w:rsidRDefault="00BA10E9" w:rsidP="00BA10E9"/>
    <w:p w14:paraId="4A279C37" w14:textId="77777777" w:rsidR="00BA10E9" w:rsidRDefault="00BA10E9" w:rsidP="00BA10E9">
      <w:pPr>
        <w:pStyle w:val="Heading3"/>
      </w:pPr>
      <w:bookmarkStart w:id="56" w:name="_Aristocrat_Technologies_Australia"/>
      <w:bookmarkEnd w:id="56"/>
      <w:r w:rsidRPr="00BA10E9">
        <w:lastRenderedPageBreak/>
        <w:t>Aristocrat</w:t>
      </w:r>
      <w:r w:rsidRPr="003D6097">
        <w:t xml:space="preserve"> Technologies Australia Pty Ltd v Commissioner of Patents</w:t>
      </w:r>
    </w:p>
    <w:p w14:paraId="6CA0C910" w14:textId="69C95379" w:rsidR="00BA10E9" w:rsidRDefault="000F3638" w:rsidP="00BA10E9">
      <w:hyperlink r:id="rId27" w:history="1">
        <w:r w:rsidR="00BA10E9" w:rsidRPr="008F3A14">
          <w:rPr>
            <w:rStyle w:val="Hyperlink"/>
            <w:rFonts w:cs="Verdana"/>
            <w:b/>
            <w:bCs/>
            <w:noProof w:val="0"/>
          </w:rPr>
          <w:t>S40/2022</w:t>
        </w:r>
      </w:hyperlink>
      <w:r w:rsidR="00BA10E9" w:rsidRPr="00BC379A">
        <w:rPr>
          <w:b/>
        </w:rPr>
        <w:t>:</w:t>
      </w:r>
      <w:r w:rsidR="00BA10E9">
        <w:t xml:space="preserve"> </w:t>
      </w:r>
      <w:hyperlink r:id="rId28" w:history="1">
        <w:r w:rsidR="00BA10E9" w:rsidRPr="00BA10E9">
          <w:rPr>
            <w:rStyle w:val="Hyperlink"/>
            <w:rFonts w:cs="Verdana"/>
            <w:noProof w:val="0"/>
          </w:rPr>
          <w:t>[2022] HCA 29</w:t>
        </w:r>
      </w:hyperlink>
    </w:p>
    <w:p w14:paraId="6F4E57E8" w14:textId="77777777" w:rsidR="00BA10E9" w:rsidRDefault="00BA10E9" w:rsidP="00BA10E9"/>
    <w:p w14:paraId="2B8F4B1B" w14:textId="27AB8894" w:rsidR="00BA10E9" w:rsidRDefault="00BA10E9" w:rsidP="00BA10E9">
      <w:r>
        <w:rPr>
          <w:b/>
        </w:rPr>
        <w:t>Judgment</w:t>
      </w:r>
      <w:r w:rsidRPr="004E7695">
        <w:rPr>
          <w:b/>
        </w:rPr>
        <w:t xml:space="preserve">: </w:t>
      </w:r>
      <w:r>
        <w:t>1</w:t>
      </w:r>
      <w:r w:rsidR="005C4230">
        <w:t>7</w:t>
      </w:r>
      <w:r>
        <w:t xml:space="preserve"> August 2022 </w:t>
      </w:r>
    </w:p>
    <w:p w14:paraId="33410CF9" w14:textId="77777777" w:rsidR="00BA10E9" w:rsidRDefault="00BA10E9" w:rsidP="00BA10E9"/>
    <w:p w14:paraId="619B6ED7" w14:textId="77777777" w:rsidR="00BA10E9" w:rsidRPr="00523623" w:rsidRDefault="00BA10E9" w:rsidP="00BA10E9">
      <w:r w:rsidRPr="00744391">
        <w:rPr>
          <w:b/>
          <w:bCs/>
        </w:rPr>
        <w:t>Coram:</w:t>
      </w:r>
      <w:r>
        <w:t xml:space="preserve"> </w:t>
      </w:r>
      <w:r w:rsidRPr="005466AB">
        <w:t xml:space="preserve">Kiefel CJ, Gageler, Keane, Gordon, </w:t>
      </w:r>
      <w:proofErr w:type="gramStart"/>
      <w:r w:rsidRPr="005466AB">
        <w:t>Edelman</w:t>
      </w:r>
      <w:proofErr w:type="gramEnd"/>
      <w:r>
        <w:t xml:space="preserve"> and</w:t>
      </w:r>
      <w:r w:rsidRPr="005466AB">
        <w:t xml:space="preserve"> Steward JJ</w:t>
      </w:r>
    </w:p>
    <w:p w14:paraId="22F82BC3" w14:textId="77777777" w:rsidR="00BA10E9" w:rsidRPr="004E7695" w:rsidRDefault="00BA10E9" w:rsidP="00BA10E9"/>
    <w:p w14:paraId="25B3A2C5" w14:textId="77777777" w:rsidR="00BA10E9" w:rsidRPr="004E7695" w:rsidRDefault="00BA10E9" w:rsidP="00BA10E9">
      <w:pPr>
        <w:rPr>
          <w:b/>
        </w:rPr>
      </w:pPr>
      <w:r w:rsidRPr="004E7695">
        <w:rPr>
          <w:b/>
        </w:rPr>
        <w:t>Catchwords:</w:t>
      </w:r>
    </w:p>
    <w:p w14:paraId="77782B9E" w14:textId="77777777" w:rsidR="00BA10E9" w:rsidRDefault="00BA10E9" w:rsidP="00BA10E9"/>
    <w:p w14:paraId="275469EB" w14:textId="09C02633" w:rsidR="00BA10E9" w:rsidRDefault="00BA10E9" w:rsidP="00BA10E9">
      <w:pPr>
        <w:ind w:left="720"/>
      </w:pPr>
      <w:r>
        <w:t xml:space="preserve">Patents – Invention – Manner of manufacture – Where appellant manufactured electronic gaming machines ("EGMs") – Where appellant owned four innovation patents concerning various embodiments of EGM – Where specification described claimed invention as combination of player interface, being physical features of EGM, and game controller, being computerised components interacting with player interface to implement base game and feature game – Where player interface and game controller part of common general knowledge – Where delegate of respondent revoked innovation patents on ground that claim in each not "manner of manufacture" within meaning of s 18(1A)(a) of </w:t>
      </w:r>
      <w:r w:rsidRPr="00BA10E9">
        <w:rPr>
          <w:i/>
          <w:iCs/>
        </w:rPr>
        <w:t>Patents Act 1990</w:t>
      </w:r>
      <w:r>
        <w:t xml:space="preserve"> (Cth) – Whether claimed invention "manner of manufacture" within meaning of s 18(1A)(a) of </w:t>
      </w:r>
      <w:r w:rsidRPr="00BA10E9">
        <w:rPr>
          <w:i/>
          <w:iCs/>
        </w:rPr>
        <w:t>Patents Act</w:t>
      </w:r>
      <w:r>
        <w:t>.</w:t>
      </w:r>
    </w:p>
    <w:p w14:paraId="52140110" w14:textId="77777777" w:rsidR="00BA10E9" w:rsidRDefault="00BA10E9" w:rsidP="00BA10E9">
      <w:pPr>
        <w:ind w:left="720"/>
      </w:pPr>
    </w:p>
    <w:p w14:paraId="6C702D71" w14:textId="2B861658" w:rsidR="00BA10E9" w:rsidRDefault="00BA10E9" w:rsidP="00BA10E9">
      <w:pPr>
        <w:ind w:left="720"/>
      </w:pPr>
      <w:r>
        <w:t>Words and phrases – "abstract idea", "artificially created state of affairs", "characterisation", "common general knowledge", "computer implemented invention", "electronic gaming machine", "generic computer technology", "improvement in computer technology", "innovation patent", "invention", "manner of manufacture", "mere scheme or plan", "patent", "patentable subject matter", "proper subject of letters patent", "Statute of Monopolies", "useful result".</w:t>
      </w:r>
    </w:p>
    <w:p w14:paraId="2B02473E" w14:textId="77777777" w:rsidR="00BA10E9" w:rsidRDefault="00BA10E9" w:rsidP="00BA10E9">
      <w:pPr>
        <w:ind w:left="720"/>
      </w:pPr>
    </w:p>
    <w:p w14:paraId="582E343F" w14:textId="6479AD82" w:rsidR="00BA10E9" w:rsidRPr="00583E1A" w:rsidRDefault="00BA10E9" w:rsidP="00BA10E9">
      <w:pPr>
        <w:ind w:left="720"/>
      </w:pPr>
      <w:r w:rsidRPr="00BA10E9">
        <w:rPr>
          <w:i/>
          <w:iCs/>
        </w:rPr>
        <w:t>Patents Act 1990</w:t>
      </w:r>
      <w:r>
        <w:t xml:space="preserve"> (Cth), s 18, Sch 1.</w:t>
      </w:r>
    </w:p>
    <w:p w14:paraId="7F974BCB" w14:textId="77777777" w:rsidR="00BA10E9" w:rsidRPr="00C32A1D" w:rsidRDefault="00BA10E9" w:rsidP="00BA10E9"/>
    <w:p w14:paraId="6A43B510" w14:textId="189E3181" w:rsidR="00BA10E9" w:rsidRDefault="00BA10E9" w:rsidP="00BA10E9">
      <w:r w:rsidRPr="004E7695">
        <w:rPr>
          <w:b/>
        </w:rPr>
        <w:t xml:space="preserve">Appealed from </w:t>
      </w:r>
      <w:r>
        <w:rPr>
          <w:b/>
        </w:rPr>
        <w:t xml:space="preserve">FCA (FC): </w:t>
      </w:r>
      <w:hyperlink r:id="rId29" w:history="1">
        <w:r w:rsidRPr="003D6097">
          <w:rPr>
            <w:rStyle w:val="Hyperlink"/>
            <w:rFonts w:cs="Verdana"/>
            <w:noProof w:val="0"/>
          </w:rPr>
          <w:t>[2021] FCAFC 202</w:t>
        </w:r>
      </w:hyperlink>
      <w:r>
        <w:t xml:space="preserve">; </w:t>
      </w:r>
      <w:r w:rsidRPr="0005192C">
        <w:t>(2021) 286 FCR 572</w:t>
      </w:r>
      <w:r>
        <w:t xml:space="preserve">; </w:t>
      </w:r>
      <w:r w:rsidRPr="003D6097">
        <w:t>(2021) 396 ALR 380</w:t>
      </w:r>
      <w:r>
        <w:t xml:space="preserve">; </w:t>
      </w:r>
      <w:r w:rsidRPr="003D6097">
        <w:t>(2021) 163 IPR 231</w:t>
      </w:r>
    </w:p>
    <w:p w14:paraId="07DDD03F" w14:textId="638AC512" w:rsidR="005B6471" w:rsidRDefault="005B6471" w:rsidP="00BA10E9"/>
    <w:p w14:paraId="5DB7289E" w14:textId="72948870" w:rsidR="005B6471" w:rsidRPr="005B6471" w:rsidRDefault="005B6471" w:rsidP="00BA10E9">
      <w:r>
        <w:rPr>
          <w:b/>
          <w:bCs/>
        </w:rPr>
        <w:t xml:space="preserve">Held: </w:t>
      </w:r>
      <w:r>
        <w:t xml:space="preserve">Appeal dismissed with costs. </w:t>
      </w:r>
    </w:p>
    <w:p w14:paraId="42860CA4" w14:textId="77777777" w:rsidR="00BA10E9" w:rsidRPr="00E064DF" w:rsidRDefault="00BA10E9" w:rsidP="00BA10E9"/>
    <w:p w14:paraId="2B9FC3A6" w14:textId="77777777" w:rsidR="00BA10E9" w:rsidRDefault="000F3638" w:rsidP="00BA10E9">
      <w:pPr>
        <w:rPr>
          <w:rStyle w:val="Hyperlink"/>
          <w:rFonts w:cs="Verdana"/>
          <w:bCs/>
        </w:rPr>
      </w:pPr>
      <w:hyperlink w:anchor="TOP" w:history="1">
        <w:r w:rsidR="00BA10E9" w:rsidRPr="004E7695">
          <w:rPr>
            <w:rStyle w:val="Hyperlink"/>
            <w:rFonts w:cs="Verdana"/>
            <w:bCs/>
          </w:rPr>
          <w:t>Return to Top</w:t>
        </w:r>
      </w:hyperlink>
    </w:p>
    <w:p w14:paraId="335F6D8F" w14:textId="77777777" w:rsidR="00BA10E9" w:rsidRDefault="00BA10E9" w:rsidP="0049208E">
      <w:pPr>
        <w:pStyle w:val="Divider2"/>
      </w:pPr>
    </w:p>
    <w:p w14:paraId="1C01C8CE" w14:textId="77777777" w:rsidR="00BA10E9" w:rsidRDefault="00BA10E9" w:rsidP="00066824"/>
    <w:p w14:paraId="3CD220FA" w14:textId="66E5E151" w:rsidR="0049208E" w:rsidRPr="00066824" w:rsidRDefault="0049208E" w:rsidP="00066824">
      <w:pPr>
        <w:sectPr w:rsidR="0049208E" w:rsidRPr="00066824" w:rsidSect="003624E8">
          <w:headerReference w:type="default" r:id="rId30"/>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57" w:name="_2:_Cases_Reserved"/>
      <w:bookmarkStart w:id="58" w:name="_3:_Cases_Reserved"/>
      <w:bookmarkStart w:id="59" w:name="_Toc270610022"/>
      <w:bookmarkStart w:id="60" w:name="_Ref474848322"/>
      <w:bookmarkStart w:id="61" w:name="_Toc479608274"/>
      <w:bookmarkStart w:id="62" w:name="_Toc10095963"/>
      <w:bookmarkStart w:id="63" w:name="Cases_Reserved"/>
      <w:bookmarkEnd w:id="57"/>
      <w:bookmarkEnd w:id="58"/>
      <w:r w:rsidRPr="004E7695">
        <w:lastRenderedPageBreak/>
        <w:t>3</w:t>
      </w:r>
      <w:r w:rsidR="00AE64B2" w:rsidRPr="004E7695">
        <w:t>: Cases Reserved</w:t>
      </w:r>
      <w:bookmarkEnd w:id="59"/>
      <w:bookmarkEnd w:id="60"/>
      <w:bookmarkEnd w:id="61"/>
      <w:bookmarkEnd w:id="62"/>
    </w:p>
    <w:bookmarkEnd w:id="63"/>
    <w:p w14:paraId="361C3E40" w14:textId="77777777" w:rsidR="00AE64B2" w:rsidRPr="004E7695" w:rsidRDefault="00AE64B2" w:rsidP="00AE64B2"/>
    <w:p w14:paraId="748CE853" w14:textId="77777777" w:rsidR="00AE64B2" w:rsidRPr="004E7695" w:rsidRDefault="00AE64B2" w:rsidP="00AE64B2">
      <w:pPr>
        <w:pStyle w:val="Title3"/>
      </w:pPr>
      <w:bookmarkStart w:id="64" w:name="_Toc209266110"/>
      <w:r w:rsidRPr="004E7695">
        <w:t>The following cases have been reserved or part heard by the High Court of Australia.</w:t>
      </w:r>
      <w:bookmarkEnd w:id="64"/>
    </w:p>
    <w:p w14:paraId="5CB9B881" w14:textId="77777777" w:rsidR="00A83A9C" w:rsidRPr="004E7695" w:rsidRDefault="00A83A9C" w:rsidP="00A83A9C">
      <w:pPr>
        <w:pStyle w:val="Divider2"/>
        <w:pBdr>
          <w:bottom w:val="double" w:sz="6" w:space="0" w:color="auto"/>
        </w:pBdr>
      </w:pPr>
      <w:bookmarkStart w:id="65" w:name="_Honourable_Brendan_O’Connor,"/>
      <w:bookmarkStart w:id="66" w:name="_Australian_Competition_&amp;"/>
      <w:bookmarkStart w:id="67" w:name="_Kline_v_Official"/>
      <w:bookmarkStart w:id="68" w:name="_Australian_Competition_and"/>
      <w:bookmarkStart w:id="69" w:name="_Unions_NSW_and"/>
      <w:bookmarkStart w:id="70" w:name="_Commonwealth_v_The"/>
      <w:bookmarkStart w:id="71" w:name="_Administrative_Law_2"/>
      <w:bookmarkStart w:id="72" w:name="_Palmer_v_Marcus_1"/>
      <w:bookmarkStart w:id="73" w:name="Contract_2"/>
      <w:bookmarkEnd w:id="65"/>
      <w:bookmarkEnd w:id="66"/>
      <w:bookmarkEnd w:id="67"/>
      <w:bookmarkEnd w:id="68"/>
      <w:bookmarkEnd w:id="69"/>
      <w:bookmarkEnd w:id="70"/>
      <w:bookmarkEnd w:id="71"/>
      <w:bookmarkEnd w:id="72"/>
    </w:p>
    <w:p w14:paraId="20D0A083" w14:textId="77777777" w:rsidR="00B8358C" w:rsidRPr="004E7695" w:rsidRDefault="00B8358C" w:rsidP="00B8358C">
      <w:bookmarkStart w:id="74" w:name="_Hlk98318070"/>
    </w:p>
    <w:p w14:paraId="6F5867FB" w14:textId="77777777" w:rsidR="0082319A" w:rsidRPr="004E7695" w:rsidRDefault="0082319A" w:rsidP="0082319A">
      <w:pPr>
        <w:pStyle w:val="Heading2"/>
      </w:pPr>
      <w:r>
        <w:t>Constitutional Law</w:t>
      </w:r>
    </w:p>
    <w:p w14:paraId="34A7D590" w14:textId="77777777" w:rsidR="00B127D7" w:rsidRDefault="00B127D7" w:rsidP="00B127D7">
      <w:bookmarkStart w:id="75" w:name="_Garlett_v_The_1"/>
      <w:bookmarkStart w:id="76" w:name="_Delil_Alexander_(by"/>
      <w:bookmarkStart w:id="77" w:name="_Farm_Transparency_International"/>
      <w:bookmarkStart w:id="78" w:name="_Citta_Hobart_Pty"/>
      <w:bookmarkStart w:id="79" w:name="_Delil_Alexander_(by_1"/>
      <w:bookmarkStart w:id="80" w:name="_Farm_Transparency_International_1"/>
      <w:bookmarkEnd w:id="75"/>
      <w:bookmarkEnd w:id="76"/>
      <w:bookmarkEnd w:id="77"/>
      <w:bookmarkEnd w:id="78"/>
      <w:bookmarkEnd w:id="79"/>
      <w:bookmarkEnd w:id="80"/>
    </w:p>
    <w:p w14:paraId="51C555DD" w14:textId="1BEB805B" w:rsidR="00B127D7" w:rsidRDefault="00B127D7" w:rsidP="00B127D7">
      <w:pPr>
        <w:pStyle w:val="Heading3"/>
      </w:pPr>
      <w:proofErr w:type="spellStart"/>
      <w:r w:rsidRPr="006B509E">
        <w:t>Garlett</w:t>
      </w:r>
      <w:proofErr w:type="spellEnd"/>
      <w:r w:rsidRPr="006B509E">
        <w:t xml:space="preserve"> v The State of Western Australia &amp; Anor</w:t>
      </w:r>
    </w:p>
    <w:p w14:paraId="1A7BDC6C" w14:textId="5397749D" w:rsidR="00B127D7" w:rsidRPr="00B127D7" w:rsidRDefault="000F3638" w:rsidP="00B127D7">
      <w:pPr>
        <w:rPr>
          <w:bCs/>
        </w:rPr>
      </w:pPr>
      <w:hyperlink r:id="rId31" w:history="1">
        <w:r w:rsidR="00B127D7">
          <w:rPr>
            <w:rStyle w:val="Hyperlink"/>
            <w:rFonts w:cs="Verdana"/>
            <w:b/>
            <w:noProof w:val="0"/>
          </w:rPr>
          <w:t>P56/2021</w:t>
        </w:r>
      </w:hyperlink>
      <w:r w:rsidR="00B127D7">
        <w:rPr>
          <w:b/>
        </w:rPr>
        <w:t xml:space="preserve">: </w:t>
      </w:r>
      <w:hyperlink r:id="rId32" w:history="1">
        <w:r w:rsidR="00B127D7" w:rsidRPr="007805B2">
          <w:rPr>
            <w:rStyle w:val="Hyperlink"/>
            <w:rFonts w:cs="Verdana"/>
            <w:bCs/>
            <w:noProof w:val="0"/>
          </w:rPr>
          <w:t>[</w:t>
        </w:r>
        <w:r w:rsidR="007805B2" w:rsidRPr="007805B2">
          <w:rPr>
            <w:rStyle w:val="Hyperlink"/>
            <w:rFonts w:cs="Verdana"/>
            <w:bCs/>
            <w:noProof w:val="0"/>
          </w:rPr>
          <w:t xml:space="preserve">2022]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27</w:t>
        </w:r>
      </w:hyperlink>
      <w:r w:rsidR="007805B2">
        <w:rPr>
          <w:bCs/>
        </w:rPr>
        <w:t xml:space="preserve">; </w:t>
      </w:r>
      <w:hyperlink r:id="rId33" w:history="1">
        <w:r w:rsidR="00FA5AE6" w:rsidRPr="00FA5AE6">
          <w:rPr>
            <w:rStyle w:val="Hyperlink"/>
            <w:rFonts w:cs="Verdana"/>
            <w:bCs/>
            <w:noProof w:val="0"/>
          </w:rPr>
          <w:t xml:space="preserve">[2022] </w:t>
        </w:r>
        <w:proofErr w:type="spellStart"/>
        <w:r w:rsidR="00FA5AE6" w:rsidRPr="00FA5AE6">
          <w:rPr>
            <w:rStyle w:val="Hyperlink"/>
            <w:rFonts w:cs="Verdana"/>
            <w:bCs/>
            <w:noProof w:val="0"/>
          </w:rPr>
          <w:t>HCATrans</w:t>
        </w:r>
        <w:proofErr w:type="spellEnd"/>
        <w:r w:rsidR="00FA5AE6" w:rsidRPr="00FA5AE6">
          <w:rPr>
            <w:rStyle w:val="Hyperlink"/>
            <w:rFonts w:cs="Verdana"/>
            <w:bCs/>
            <w:noProof w:val="0"/>
          </w:rPr>
          <w:t xml:space="preserve"> 28</w:t>
        </w:r>
      </w:hyperlink>
    </w:p>
    <w:p w14:paraId="1CC3EC9C" w14:textId="77777777" w:rsidR="00B127D7" w:rsidRDefault="00B127D7" w:rsidP="00B127D7"/>
    <w:p w14:paraId="18DACEF3" w14:textId="4046D52C" w:rsidR="00B127D7" w:rsidRDefault="00B127D7" w:rsidP="00B127D7">
      <w:bookmarkStart w:id="81" w:name="_Hlk100212492"/>
      <w:r w:rsidRPr="00FD4C45">
        <w:rPr>
          <w:b/>
        </w:rPr>
        <w:t xml:space="preserve">Date heard: </w:t>
      </w:r>
      <w:r w:rsidR="007805B2">
        <w:rPr>
          <w:bCs/>
        </w:rPr>
        <w:t xml:space="preserve">10 and 11 March 2022 </w:t>
      </w:r>
    </w:p>
    <w:p w14:paraId="1D420F08" w14:textId="77777777" w:rsidR="00B127D7" w:rsidRDefault="00B127D7" w:rsidP="00B127D7"/>
    <w:p w14:paraId="0A4755B7" w14:textId="77777777" w:rsidR="00B127D7" w:rsidRPr="00BB0EF9" w:rsidRDefault="00B127D7" w:rsidP="00B127D7">
      <w:pPr>
        <w:rPr>
          <w:i/>
        </w:rPr>
      </w:pPr>
      <w:r>
        <w:rPr>
          <w:b/>
        </w:rPr>
        <w:t xml:space="preserve">Coram: </w:t>
      </w:r>
      <w:r>
        <w:t>Kiefel CJ, Gageler, Keane, Gordon, Edelman, Steward and Gleeson JJ</w:t>
      </w:r>
    </w:p>
    <w:bookmarkEnd w:id="81"/>
    <w:p w14:paraId="4B36C80D" w14:textId="77777777" w:rsidR="00B127D7" w:rsidRPr="00B127D7" w:rsidRDefault="00B127D7" w:rsidP="00B127D7">
      <w:pPr>
        <w:rPr>
          <w:iCs/>
        </w:rPr>
      </w:pPr>
    </w:p>
    <w:p w14:paraId="6B71760E" w14:textId="77777777" w:rsidR="00B127D7" w:rsidRDefault="00B127D7" w:rsidP="00B127D7">
      <w:r>
        <w:rPr>
          <w:b/>
        </w:rPr>
        <w:t>Catchwords:</w:t>
      </w:r>
    </w:p>
    <w:p w14:paraId="7ACAF783" w14:textId="77777777" w:rsidR="00B127D7" w:rsidRDefault="00B127D7" w:rsidP="00B127D7">
      <w:r>
        <w:tab/>
      </w:r>
    </w:p>
    <w:p w14:paraId="57864351" w14:textId="702BFE5A" w:rsidR="00B127D7" w:rsidRDefault="00B127D7" w:rsidP="00B127D7">
      <w:pPr>
        <w:ind w:left="720"/>
      </w:pPr>
      <w:r>
        <w:t xml:space="preserve">Constitutional law – Chapter III – Where appellant was sentenced to imprisonment after pleading guilty to two charges – Where appellant's previous offending included robbery – Where appellant referred to State Solicitor's Office to consider whether application should be made under s 35 of </w:t>
      </w:r>
      <w:r w:rsidRPr="00020731">
        <w:rPr>
          <w:i/>
          <w:iCs/>
        </w:rPr>
        <w:t>High Risk Serious Offenders Act 2020</w:t>
      </w:r>
      <w:r>
        <w:t xml:space="preserve"> (WA) (</w:t>
      </w:r>
      <w:r w:rsidR="00A451CA">
        <w:t>"</w:t>
      </w:r>
      <w:r>
        <w:t>HRSO Act</w:t>
      </w:r>
      <w:r w:rsidR="00A451CA">
        <w:t>"</w:t>
      </w:r>
      <w:r>
        <w:t xml:space="preserve">), which provided for State to apply for restriction order in relation to </w:t>
      </w:r>
      <w:r w:rsidR="00A451CA">
        <w:t>"</w:t>
      </w:r>
      <w:r>
        <w:t>serious offender under custodial sentence who is not a serious offender under restriction</w:t>
      </w:r>
      <w:r w:rsidR="00A451CA">
        <w:t>"</w:t>
      </w:r>
      <w:r>
        <w:t xml:space="preserve"> – Where application was made for restriction order under s 48 of HRSO Act – Where appellant argued parts of HRSO Act were incompatible with Chapter III of </w:t>
      </w:r>
      <w:r w:rsidRPr="00020731">
        <w:rPr>
          <w:i/>
          <w:iCs/>
        </w:rPr>
        <w:t>Constitution</w:t>
      </w:r>
      <w:r>
        <w:t xml:space="preserve"> – Whether </w:t>
      </w:r>
      <w:r w:rsidRPr="00927258">
        <w:t xml:space="preserve">provisions of </w:t>
      </w:r>
      <w:r>
        <w:t xml:space="preserve">HRSO Act </w:t>
      </w:r>
      <w:r w:rsidRPr="00927258">
        <w:t>contravene any requirement of Ch</w:t>
      </w:r>
      <w:r>
        <w:t>apter</w:t>
      </w:r>
      <w:r w:rsidRPr="00927258">
        <w:t xml:space="preserve"> III as they apply to serious offender under custodial sentence who has been convicted of robbery</w:t>
      </w:r>
      <w:r>
        <w:t xml:space="preserve">, </w:t>
      </w:r>
      <w:r w:rsidRPr="00927258">
        <w:t xml:space="preserve">referred to in item 34 of Schedule 1 Division 1 of </w:t>
      </w:r>
      <w:r>
        <w:t xml:space="preserve">HRSO Act. </w:t>
      </w:r>
    </w:p>
    <w:p w14:paraId="54D15576" w14:textId="77777777" w:rsidR="00B127D7" w:rsidRDefault="00B127D7" w:rsidP="00B127D7">
      <w:pPr>
        <w:rPr>
          <w:i/>
        </w:rPr>
      </w:pPr>
    </w:p>
    <w:p w14:paraId="7DC8844D" w14:textId="77777777" w:rsidR="00B127D7" w:rsidRPr="00D831C7" w:rsidRDefault="00B127D7" w:rsidP="00B127D7">
      <w:pPr>
        <w:rPr>
          <w:rFonts w:ascii="Calibri" w:hAnsi="Calibri" w:cs="Calibri"/>
        </w:rPr>
      </w:pPr>
      <w:r>
        <w:rPr>
          <w:i/>
        </w:rPr>
        <w:t>Removed from the Court of Appeal of the Supreme Court of Western Australia</w:t>
      </w:r>
      <w:r>
        <w:t xml:space="preserve">. </w:t>
      </w:r>
    </w:p>
    <w:p w14:paraId="10888885" w14:textId="77777777" w:rsidR="00B127D7" w:rsidRPr="004E7695" w:rsidRDefault="00B127D7" w:rsidP="00B127D7"/>
    <w:p w14:paraId="60EA043F" w14:textId="77777777" w:rsidR="00B127D7" w:rsidRPr="004E7695" w:rsidRDefault="000F3638" w:rsidP="00B127D7">
      <w:hyperlink w:anchor="TOP" w:history="1">
        <w:r w:rsidR="00B127D7" w:rsidRPr="004E7695">
          <w:rPr>
            <w:rStyle w:val="Hyperlink"/>
            <w:rFonts w:cs="Verdana"/>
            <w:bCs/>
          </w:rPr>
          <w:t>Return to Top</w:t>
        </w:r>
      </w:hyperlink>
    </w:p>
    <w:bookmarkEnd w:id="74"/>
    <w:p w14:paraId="150578EF" w14:textId="77777777" w:rsidR="00B8358C" w:rsidRPr="004E7695" w:rsidRDefault="00B8358C" w:rsidP="00B8358C">
      <w:pPr>
        <w:pStyle w:val="Divider1"/>
        <w:pBdr>
          <w:bottom w:val="dotted" w:sz="4" w:space="2" w:color="auto"/>
        </w:pBdr>
      </w:pPr>
    </w:p>
    <w:p w14:paraId="185BCB65" w14:textId="77777777" w:rsidR="00744391" w:rsidRPr="00744391" w:rsidRDefault="00744391" w:rsidP="00744391"/>
    <w:p w14:paraId="70F2F772" w14:textId="77777777" w:rsidR="00744391" w:rsidRPr="00D0009F" w:rsidRDefault="00744391" w:rsidP="00744391">
      <w:pPr>
        <w:pStyle w:val="Heading3"/>
        <w:tabs>
          <w:tab w:val="left" w:pos="426"/>
        </w:tabs>
      </w:pPr>
      <w:bookmarkStart w:id="82" w:name="_SDCV_v_Director-General_1"/>
      <w:bookmarkEnd w:id="82"/>
      <w:r>
        <w:t>SDCV v Director-General of Security &amp; Anor</w:t>
      </w:r>
    </w:p>
    <w:p w14:paraId="340BD32A" w14:textId="2C0972FF" w:rsidR="00744391" w:rsidRDefault="000F3638" w:rsidP="00744391">
      <w:hyperlink r:id="rId34" w:history="1">
        <w:r w:rsidR="00744391" w:rsidRPr="00B82068">
          <w:rPr>
            <w:rStyle w:val="Hyperlink"/>
            <w:rFonts w:cs="Verdana"/>
            <w:b/>
            <w:noProof w:val="0"/>
          </w:rPr>
          <w:t>S27/2022</w:t>
        </w:r>
      </w:hyperlink>
      <w:hyperlink r:id="rId35" w:history="1"/>
      <w:r w:rsidR="00744391" w:rsidRPr="00D0009F">
        <w:rPr>
          <w:b/>
        </w:rPr>
        <w:t>:</w:t>
      </w:r>
      <w:r w:rsidR="00744391" w:rsidRPr="00D0009F">
        <w:t xml:space="preserve"> </w:t>
      </w:r>
      <w:hyperlink r:id="rId36" w:history="1">
        <w:r w:rsidR="005466AB" w:rsidRPr="005466AB">
          <w:rPr>
            <w:rStyle w:val="Hyperlink"/>
            <w:rFonts w:cs="Verdana"/>
            <w:noProof w:val="0"/>
          </w:rPr>
          <w:t xml:space="preserve">[2022] </w:t>
        </w:r>
        <w:proofErr w:type="spellStart"/>
        <w:r w:rsidR="005466AB" w:rsidRPr="005466AB">
          <w:rPr>
            <w:rStyle w:val="Hyperlink"/>
            <w:rFonts w:cs="Verdana"/>
            <w:noProof w:val="0"/>
          </w:rPr>
          <w:t>HCATrans</w:t>
        </w:r>
        <w:proofErr w:type="spellEnd"/>
        <w:r w:rsidR="005466AB" w:rsidRPr="005466AB">
          <w:rPr>
            <w:rStyle w:val="Hyperlink"/>
            <w:rFonts w:cs="Verdana"/>
            <w:noProof w:val="0"/>
          </w:rPr>
          <w:t xml:space="preserve"> 100</w:t>
        </w:r>
      </w:hyperlink>
      <w:r w:rsidR="005466AB">
        <w:t xml:space="preserve">; </w:t>
      </w:r>
      <w:hyperlink r:id="rId37" w:history="1">
        <w:r w:rsidR="005466AB" w:rsidRPr="005466AB">
          <w:rPr>
            <w:rStyle w:val="Hyperlink"/>
            <w:rFonts w:cs="Verdana"/>
            <w:noProof w:val="0"/>
          </w:rPr>
          <w:t xml:space="preserve">[2022] </w:t>
        </w:r>
        <w:proofErr w:type="spellStart"/>
        <w:r w:rsidR="005466AB" w:rsidRPr="005466AB">
          <w:rPr>
            <w:rStyle w:val="Hyperlink"/>
            <w:rFonts w:cs="Verdana"/>
            <w:noProof w:val="0"/>
          </w:rPr>
          <w:t>HCATrans</w:t>
        </w:r>
        <w:proofErr w:type="spellEnd"/>
        <w:r w:rsidR="005466AB" w:rsidRPr="005466AB">
          <w:rPr>
            <w:rStyle w:val="Hyperlink"/>
            <w:rFonts w:cs="Verdana"/>
            <w:noProof w:val="0"/>
          </w:rPr>
          <w:t xml:space="preserve"> 102</w:t>
        </w:r>
      </w:hyperlink>
    </w:p>
    <w:p w14:paraId="44B0CAC0" w14:textId="77777777" w:rsidR="00744391" w:rsidRDefault="00744391" w:rsidP="00744391"/>
    <w:p w14:paraId="4D5EEF15" w14:textId="1AE3588F" w:rsidR="00744391" w:rsidRDefault="00744391" w:rsidP="00744391">
      <w:r w:rsidRPr="004E7695">
        <w:rPr>
          <w:b/>
        </w:rPr>
        <w:t xml:space="preserve">Date </w:t>
      </w:r>
      <w:r>
        <w:rPr>
          <w:b/>
        </w:rPr>
        <w:t>heard</w:t>
      </w:r>
      <w:r w:rsidRPr="004E7695">
        <w:rPr>
          <w:b/>
        </w:rPr>
        <w:t>:</w:t>
      </w:r>
      <w:r w:rsidRPr="00FC0B58">
        <w:t xml:space="preserve"> </w:t>
      </w:r>
      <w:r w:rsidR="005466AB">
        <w:t xml:space="preserve">7 and 8 June 2022 </w:t>
      </w:r>
      <w:r>
        <w:t xml:space="preserve"> </w:t>
      </w:r>
    </w:p>
    <w:p w14:paraId="7CA1079F" w14:textId="48AE65B5" w:rsidR="00744391" w:rsidRDefault="00744391" w:rsidP="00744391"/>
    <w:p w14:paraId="6580AFD6" w14:textId="740EE718" w:rsidR="00744391" w:rsidRPr="00744391" w:rsidRDefault="00744391" w:rsidP="00744391">
      <w:r>
        <w:rPr>
          <w:b/>
          <w:bCs/>
        </w:rPr>
        <w:t>Coram:</w:t>
      </w:r>
      <w:r>
        <w:t xml:space="preserve"> </w:t>
      </w:r>
      <w:r w:rsidRPr="00744391">
        <w:t>Kiefel CJ, Gageler, Keane, Gordon, Edelman, Steward and Gleeson JJ</w:t>
      </w:r>
    </w:p>
    <w:p w14:paraId="4E06CF78" w14:textId="77777777" w:rsidR="00744391" w:rsidRPr="004E7695" w:rsidRDefault="00744391" w:rsidP="00744391"/>
    <w:p w14:paraId="76521C70" w14:textId="77777777" w:rsidR="00744391" w:rsidRPr="004E7695" w:rsidRDefault="00744391" w:rsidP="00744391">
      <w:pPr>
        <w:rPr>
          <w:b/>
        </w:rPr>
      </w:pPr>
      <w:r w:rsidRPr="004E7695">
        <w:rPr>
          <w:b/>
        </w:rPr>
        <w:t>Catchwords:</w:t>
      </w:r>
    </w:p>
    <w:p w14:paraId="4719D977" w14:textId="77777777" w:rsidR="00744391" w:rsidRPr="004E7695" w:rsidRDefault="00744391" w:rsidP="00744391">
      <w:pPr>
        <w:rPr>
          <w:b/>
        </w:rPr>
      </w:pPr>
    </w:p>
    <w:p w14:paraId="45B88FE8" w14:textId="77777777" w:rsidR="00744391" w:rsidRPr="00CB6C33" w:rsidRDefault="00744391" w:rsidP="00744391">
      <w:pPr>
        <w:ind w:left="720"/>
      </w:pPr>
      <w:r>
        <w:lastRenderedPageBreak/>
        <w:t xml:space="preserve">Constitutional law – Judicial power of Commonwealth – Ch III of </w:t>
      </w:r>
      <w:r>
        <w:rPr>
          <w:i/>
          <w:iCs/>
        </w:rPr>
        <w:t xml:space="preserve">Constitution </w:t>
      </w:r>
      <w:r>
        <w:t xml:space="preserve">– Validity of s 46(2) of </w:t>
      </w:r>
      <w:r w:rsidRPr="00240E66">
        <w:rPr>
          <w:i/>
          <w:iCs/>
        </w:rPr>
        <w:t>Administrative Appeals Tribunal Act 1975</w:t>
      </w:r>
      <w:r w:rsidRPr="00240E66">
        <w:t xml:space="preserve"> (Cth) (</w:t>
      </w:r>
      <w:r>
        <w:t>"</w:t>
      </w:r>
      <w:r w:rsidRPr="00240E66">
        <w:t>AAT Act</w:t>
      </w:r>
      <w:r>
        <w:t>"</w:t>
      </w:r>
      <w:r w:rsidRPr="00240E66">
        <w:t xml:space="preserve">) </w:t>
      </w:r>
      <w:r>
        <w:t xml:space="preserve">– Where appellant subject to adverse security assessment (ASA) by Australian Security Intelligence Office (ASIO) – Where appellant sought review of ASA by Administrative Appeal Tribunal ("AAT") – Where s 39A(8) of </w:t>
      </w:r>
      <w:r w:rsidRPr="00CB25FC">
        <w:t>AAT Act</w:t>
      </w:r>
      <w:r>
        <w:t xml:space="preserve"> provided ASIO Minister may certify evidence proposed to be adduced or submissions proposed to be made by Director-General of Security are of such nature that disclosure be contrary to public interest – </w:t>
      </w:r>
      <w:r w:rsidRPr="005641B9">
        <w:t xml:space="preserve">Where </w:t>
      </w:r>
      <w:r>
        <w:t>s 39B(2)(a)</w:t>
      </w:r>
      <w:r w:rsidRPr="005641B9">
        <w:t xml:space="preserve"> </w:t>
      </w:r>
      <w:r>
        <w:t xml:space="preserve">of </w:t>
      </w:r>
      <w:r w:rsidRPr="00CB25FC">
        <w:t>AAT Act</w:t>
      </w:r>
      <w:r>
        <w:rPr>
          <w:i/>
          <w:iCs/>
        </w:rPr>
        <w:t xml:space="preserve"> </w:t>
      </w:r>
      <w:r>
        <w:t xml:space="preserve">provided ASIO Minister may </w:t>
      </w:r>
      <w:r w:rsidRPr="005641B9">
        <w:t xml:space="preserve">certify </w:t>
      </w:r>
      <w:r>
        <w:t xml:space="preserve">disclosure of information in certificate, or disclosure of contents of document, would be contrary to public interest – Where </w:t>
      </w:r>
      <w:r w:rsidRPr="00F631B6">
        <w:t>ASIO Minister issued certificates under ss 39A(8) and 39B(2)(a)</w:t>
      </w:r>
      <w:r>
        <w:t xml:space="preserve"> of </w:t>
      </w:r>
      <w:r w:rsidRPr="00CB25FC">
        <w:t>AAT Act</w:t>
      </w:r>
      <w:r>
        <w:t xml:space="preserve"> – Where AAT affirmed ASA decision – Where</w:t>
      </w:r>
      <w:r w:rsidRPr="00CB25FC">
        <w:t>, when appeal</w:t>
      </w:r>
      <w:r>
        <w:t>ed</w:t>
      </w:r>
      <w:r w:rsidRPr="00CB25FC">
        <w:t xml:space="preserve"> to Federal Court, AAT obliged under s 46(1) of AAT Act to send documents before AAT to Court – Where, because certificates in force in respect of certain documents, Federal Court required by s 46(2) of AAT Act to do all things necessary to ensure matter not disclosed to person other than a member of Court – Where Federal Court determined s 46(2) of AAT Act valid and proceeded to determine appeal grounds</w:t>
      </w:r>
      <w:r>
        <w:t xml:space="preserve"> adversely to appellant while having regard to submissions and evidence to which appellant did not have access by reason of s 46(2) – Whether s 46(2) of </w:t>
      </w:r>
      <w:r w:rsidRPr="00CB25FC">
        <w:t>AAT Act</w:t>
      </w:r>
      <w:r>
        <w:t xml:space="preserve"> denies appellant procedural fairness – Whether s 46(2) is invalid by reason of Ch III of Constitution in that it requires Federal Court to act in procedurally unfair manner – Whether decisions in </w:t>
      </w:r>
      <w:r w:rsidRPr="00CB25FC">
        <w:rPr>
          <w:i/>
          <w:iCs/>
        </w:rPr>
        <w:t>Gypsy Jokers Motorcycle Club Inc v Commissioner of Police</w:t>
      </w:r>
      <w:r>
        <w:t xml:space="preserve"> </w:t>
      </w:r>
      <w:r w:rsidRPr="00CB25FC">
        <w:t>(2008) 234 CLR 532</w:t>
      </w:r>
      <w:r>
        <w:t xml:space="preserve">;  </w:t>
      </w:r>
      <w:r w:rsidRPr="00CB25FC">
        <w:rPr>
          <w:i/>
          <w:iCs/>
        </w:rPr>
        <w:t>Assistant Commissioner Pompano v Condon Pty Ltd</w:t>
      </w:r>
      <w:r>
        <w:t xml:space="preserve"> </w:t>
      </w:r>
      <w:r w:rsidRPr="00CB25FC">
        <w:t>(2013) 252 CLR 38</w:t>
      </w:r>
      <w:r>
        <w:t xml:space="preserve">; or </w:t>
      </w:r>
      <w:r w:rsidRPr="00CB25FC">
        <w:rPr>
          <w:i/>
          <w:iCs/>
        </w:rPr>
        <w:t>Graham v Minister for Immigration and Border Protection</w:t>
      </w:r>
      <w:r w:rsidRPr="00CB25FC">
        <w:t xml:space="preserve"> (2017) 263 CLR</w:t>
      </w:r>
      <w:r>
        <w:t xml:space="preserve"> 1 should be qualified or overruled. </w:t>
      </w:r>
    </w:p>
    <w:p w14:paraId="5475A3C7" w14:textId="77777777" w:rsidR="00744391" w:rsidRPr="004E7695" w:rsidRDefault="00744391" w:rsidP="00744391">
      <w:pPr>
        <w:ind w:left="720"/>
      </w:pPr>
    </w:p>
    <w:p w14:paraId="4018E3BB" w14:textId="3B7CA312" w:rsidR="00744391" w:rsidRDefault="00744391" w:rsidP="00744391">
      <w:r w:rsidRPr="004E7695">
        <w:rPr>
          <w:b/>
        </w:rPr>
        <w:t>Appealed from</w:t>
      </w:r>
      <w:r>
        <w:rPr>
          <w:b/>
        </w:rPr>
        <w:t xml:space="preserve"> FCA (FC):</w:t>
      </w:r>
      <w:r>
        <w:t xml:space="preserve"> </w:t>
      </w:r>
      <w:hyperlink r:id="rId38" w:history="1">
        <w:r w:rsidRPr="00F96E3A">
          <w:rPr>
            <w:rStyle w:val="Hyperlink"/>
            <w:rFonts w:cs="Verdana"/>
            <w:noProof w:val="0"/>
          </w:rPr>
          <w:t>[2021] FCAFC 51</w:t>
        </w:r>
      </w:hyperlink>
      <w:r>
        <w:t xml:space="preserve">; </w:t>
      </w:r>
      <w:r w:rsidRPr="00F96E3A">
        <w:t>(2021) 284 FCR 357</w:t>
      </w:r>
      <w:r>
        <w:t>; (2021) 389 ALR 372</w:t>
      </w:r>
      <w:r w:rsidR="00A440F5">
        <w:t xml:space="preserve">; </w:t>
      </w:r>
      <w:r w:rsidR="00A440F5" w:rsidRPr="00A440F5">
        <w:t>(2021) 173 ALD 450</w:t>
      </w:r>
    </w:p>
    <w:p w14:paraId="15E55FFE" w14:textId="77777777" w:rsidR="00744391" w:rsidRPr="004E7695" w:rsidRDefault="00744391" w:rsidP="00744391"/>
    <w:p w14:paraId="1BA04BB2" w14:textId="77777777" w:rsidR="00744391" w:rsidRDefault="000F3638" w:rsidP="00744391">
      <w:hyperlink w:anchor="TOP" w:history="1">
        <w:r w:rsidR="00744391" w:rsidRPr="004E7695">
          <w:rPr>
            <w:rStyle w:val="Hyperlink"/>
            <w:rFonts w:cs="Verdana"/>
            <w:bCs/>
          </w:rPr>
          <w:t>Return to Top</w:t>
        </w:r>
      </w:hyperlink>
    </w:p>
    <w:p w14:paraId="72BD76EB" w14:textId="0B66D872" w:rsidR="00D40137" w:rsidRDefault="00D40137" w:rsidP="00D40137">
      <w:pPr>
        <w:pStyle w:val="Divider2"/>
        <w:pBdr>
          <w:bottom w:val="double" w:sz="6" w:space="0" w:color="auto"/>
        </w:pBdr>
      </w:pPr>
    </w:p>
    <w:p w14:paraId="038A5307" w14:textId="77777777" w:rsidR="0071714F" w:rsidRPr="0071714F" w:rsidRDefault="0071714F" w:rsidP="0071714F"/>
    <w:p w14:paraId="373F325F" w14:textId="58622B85" w:rsidR="0071714F" w:rsidRDefault="0071714F" w:rsidP="0071714F">
      <w:pPr>
        <w:pStyle w:val="Heading2"/>
        <w:rPr>
          <w:rFonts w:eastAsia="Arial Unicode MS" w:cs="Arial Unicode MS"/>
          <w:lang w:val="en-US"/>
        </w:rPr>
      </w:pPr>
      <w:bookmarkStart w:id="83" w:name="_Chetcuti_v_Commonwealth"/>
      <w:bookmarkEnd w:id="83"/>
      <w:r>
        <w:rPr>
          <w:rFonts w:eastAsia="Arial Unicode MS" w:cs="Arial Unicode MS"/>
          <w:lang w:val="en-US"/>
        </w:rPr>
        <w:t xml:space="preserve">Criminal Law </w:t>
      </w:r>
    </w:p>
    <w:p w14:paraId="492C73BE" w14:textId="77777777" w:rsidR="00F10FF5" w:rsidRPr="00F10FF5" w:rsidRDefault="00F10FF5" w:rsidP="00F10FF5">
      <w:pPr>
        <w:rPr>
          <w:rFonts w:eastAsia="Arial Unicode MS"/>
          <w:lang w:val="en-US"/>
        </w:rPr>
      </w:pPr>
    </w:p>
    <w:p w14:paraId="64DBA670" w14:textId="77777777" w:rsidR="00744391" w:rsidRDefault="00744391" w:rsidP="00744391">
      <w:pPr>
        <w:pStyle w:val="Heading3"/>
      </w:pPr>
      <w:bookmarkStart w:id="84" w:name="_Stephens_v_The"/>
      <w:bookmarkEnd w:id="84"/>
      <w:r>
        <w:rPr>
          <w:rFonts w:eastAsia="Arial Unicode MS" w:cs="Arial Unicode MS"/>
          <w:lang w:val="en-US"/>
        </w:rPr>
        <w:t>Stephens</w:t>
      </w:r>
      <w:r>
        <w:rPr>
          <w:rFonts w:eastAsia="Arial Unicode MS" w:cs="Arial Unicode MS"/>
        </w:rPr>
        <w:t xml:space="preserve"> v The Queen </w:t>
      </w:r>
    </w:p>
    <w:p w14:paraId="598D0E6C" w14:textId="3D87A531" w:rsidR="00744391" w:rsidRDefault="000F3638" w:rsidP="00744391">
      <w:pPr>
        <w:pStyle w:val="Body"/>
      </w:pPr>
      <w:hyperlink r:id="rId39" w:history="1">
        <w:r w:rsidR="00744391" w:rsidRPr="005D302E">
          <w:rPr>
            <w:rStyle w:val="Hyperlink2"/>
            <w:rFonts w:eastAsia="Arial Unicode MS" w:cs="Arial Unicode MS"/>
            <w:lang w:val="en-US"/>
          </w:rPr>
          <w:t>S53/2022</w:t>
        </w:r>
      </w:hyperlink>
      <w:r w:rsidR="00744391" w:rsidRPr="00AB4009">
        <w:rPr>
          <w:rFonts w:eastAsia="Arial Unicode MS" w:cs="Arial Unicode MS"/>
          <w:b/>
          <w:bCs/>
        </w:rPr>
        <w:t>:</w:t>
      </w:r>
      <w:r w:rsidR="00744391">
        <w:rPr>
          <w:rFonts w:eastAsia="Arial Unicode MS" w:cs="Arial Unicode MS"/>
        </w:rPr>
        <w:t xml:space="preserve"> </w:t>
      </w:r>
      <w:hyperlink r:id="rId40" w:history="1">
        <w:r w:rsidR="005466AB" w:rsidRPr="005466AB">
          <w:rPr>
            <w:rStyle w:val="Hyperlink"/>
            <w:rFonts w:eastAsia="Arial Unicode MS" w:cs="Arial Unicode MS"/>
            <w:noProof w:val="0"/>
          </w:rPr>
          <w:t xml:space="preserve">[2022] </w:t>
        </w:r>
        <w:proofErr w:type="spellStart"/>
        <w:r w:rsidR="005466AB" w:rsidRPr="005466AB">
          <w:rPr>
            <w:rStyle w:val="Hyperlink"/>
            <w:rFonts w:eastAsia="Arial Unicode MS" w:cs="Arial Unicode MS"/>
            <w:noProof w:val="0"/>
          </w:rPr>
          <w:t>HCATrans</w:t>
        </w:r>
        <w:proofErr w:type="spellEnd"/>
        <w:r w:rsidR="005466AB" w:rsidRPr="005466AB">
          <w:rPr>
            <w:rStyle w:val="Hyperlink"/>
            <w:rFonts w:eastAsia="Arial Unicode MS" w:cs="Arial Unicode MS"/>
            <w:noProof w:val="0"/>
          </w:rPr>
          <w:t xml:space="preserve"> 108</w:t>
        </w:r>
      </w:hyperlink>
      <w:r w:rsidR="005466AB">
        <w:rPr>
          <w:rFonts w:eastAsia="Arial Unicode MS" w:cs="Arial Unicode MS"/>
        </w:rPr>
        <w:t xml:space="preserve"> </w:t>
      </w:r>
    </w:p>
    <w:p w14:paraId="136F291E" w14:textId="77777777" w:rsidR="00744391" w:rsidRDefault="00744391" w:rsidP="00744391">
      <w:pPr>
        <w:pStyle w:val="Body"/>
      </w:pPr>
    </w:p>
    <w:p w14:paraId="2A891C3F" w14:textId="765EA23A" w:rsidR="00744391" w:rsidRDefault="00744391" w:rsidP="00744391">
      <w:pPr>
        <w:pStyle w:val="Body"/>
        <w:rPr>
          <w:rStyle w:val="PageNumber"/>
          <w:rFonts w:eastAsia="Arial Unicode MS" w:cs="Arial Unicode MS"/>
          <w:iCs/>
          <w:lang w:val="en-US"/>
        </w:rPr>
      </w:pPr>
      <w:r>
        <w:rPr>
          <w:rStyle w:val="PageNumber"/>
          <w:rFonts w:eastAsia="Arial Unicode MS" w:cs="Arial Unicode MS"/>
          <w:b/>
          <w:bCs/>
          <w:lang w:val="en-US"/>
        </w:rPr>
        <w:t>Date heard:</w:t>
      </w:r>
      <w:r>
        <w:rPr>
          <w:rFonts w:eastAsia="Arial Unicode MS" w:cs="Arial Unicode MS"/>
        </w:rPr>
        <w:t xml:space="preserve"> </w:t>
      </w:r>
      <w:r w:rsidR="005466AB">
        <w:rPr>
          <w:rFonts w:eastAsia="Arial Unicode MS" w:cs="Arial Unicode MS"/>
        </w:rPr>
        <w:t xml:space="preserve">16 June 2022 </w:t>
      </w:r>
    </w:p>
    <w:p w14:paraId="2E90A603" w14:textId="7E3D8426" w:rsidR="00744391" w:rsidRDefault="00744391" w:rsidP="00744391">
      <w:pPr>
        <w:pStyle w:val="Body"/>
        <w:rPr>
          <w:rStyle w:val="PageNumber"/>
          <w:rFonts w:eastAsia="Arial Unicode MS" w:cs="Arial Unicode MS"/>
          <w:iCs/>
          <w:lang w:val="en-US"/>
        </w:rPr>
      </w:pPr>
    </w:p>
    <w:p w14:paraId="19039573" w14:textId="2F4368A8" w:rsidR="00744391" w:rsidRPr="00744391" w:rsidRDefault="00744391" w:rsidP="00744391">
      <w:pPr>
        <w:pStyle w:val="Body"/>
        <w:rPr>
          <w:iCs/>
        </w:rPr>
      </w:pPr>
      <w:r>
        <w:rPr>
          <w:rStyle w:val="PageNumber"/>
          <w:rFonts w:eastAsia="Arial Unicode MS" w:cs="Arial Unicode MS"/>
          <w:b/>
          <w:bCs/>
          <w:iCs/>
          <w:lang w:val="en-US"/>
        </w:rPr>
        <w:t>Coram:</w:t>
      </w:r>
      <w:r>
        <w:rPr>
          <w:rStyle w:val="PageNumber"/>
          <w:rFonts w:eastAsia="Arial Unicode MS" w:cs="Arial Unicode MS"/>
          <w:iCs/>
          <w:lang w:val="en-US"/>
        </w:rPr>
        <w:t xml:space="preserve"> </w:t>
      </w:r>
      <w:r w:rsidR="005466AB">
        <w:rPr>
          <w:rFonts w:eastAsia="Arial Unicode MS" w:cs="Arial Unicode MS"/>
        </w:rPr>
        <w:t xml:space="preserve">Keane, Gordon, Edelman, Steward and Gleeson JJ. </w:t>
      </w:r>
    </w:p>
    <w:p w14:paraId="690D6723" w14:textId="77777777" w:rsidR="00744391" w:rsidRDefault="00744391" w:rsidP="00744391">
      <w:pPr>
        <w:pStyle w:val="Body"/>
      </w:pPr>
    </w:p>
    <w:p w14:paraId="423AAA24" w14:textId="77777777" w:rsidR="00744391" w:rsidRDefault="00744391" w:rsidP="00744391">
      <w:pPr>
        <w:pStyle w:val="Body"/>
        <w:rPr>
          <w:rStyle w:val="PageNumber"/>
          <w:b/>
          <w:bCs/>
        </w:rPr>
      </w:pPr>
      <w:r>
        <w:rPr>
          <w:rStyle w:val="PageNumber"/>
          <w:rFonts w:eastAsia="Arial Unicode MS" w:cs="Arial Unicode MS"/>
          <w:b/>
          <w:bCs/>
          <w:lang w:val="de-DE"/>
        </w:rPr>
        <w:t>Catchwords:</w:t>
      </w:r>
    </w:p>
    <w:p w14:paraId="5F9E0DA7" w14:textId="77777777" w:rsidR="00744391" w:rsidRDefault="00744391" w:rsidP="00744391">
      <w:pPr>
        <w:pStyle w:val="Body"/>
        <w:rPr>
          <w:b/>
          <w:bCs/>
        </w:rPr>
      </w:pPr>
    </w:p>
    <w:p w14:paraId="4D7EB30F" w14:textId="77777777" w:rsidR="00744391" w:rsidRPr="0091362F" w:rsidRDefault="00744391" w:rsidP="00744391">
      <w:pPr>
        <w:pStyle w:val="Body"/>
        <w:ind w:left="720"/>
        <w:rPr>
          <w:i/>
          <w:iCs/>
        </w:rPr>
      </w:pPr>
      <w:r>
        <w:rPr>
          <w:lang w:val="en-US"/>
        </w:rPr>
        <w:t>Criminal law</w:t>
      </w:r>
      <w:r>
        <w:t xml:space="preserve"> – Presumption against retrospectivity – Where, on 8 June 1984, </w:t>
      </w:r>
      <w:r>
        <w:rPr>
          <w:i/>
          <w:iCs/>
        </w:rPr>
        <w:t xml:space="preserve">Crimes Act 1900 </w:t>
      </w:r>
      <w:r>
        <w:t xml:space="preserve">(NSW) amended to repeal s 81, which proscribed indecent assault on male person, and inserted s 78K, </w:t>
      </w:r>
      <w:r>
        <w:lastRenderedPageBreak/>
        <w:t xml:space="preserve">which </w:t>
      </w:r>
      <w:r w:rsidRPr="007D2A96">
        <w:t>proscribed homosexual intercourse with male person between ages of 10 and 18 years</w:t>
      </w:r>
      <w:r>
        <w:rPr>
          <w:lang w:val="en-US"/>
        </w:rPr>
        <w:t xml:space="preserve"> </w:t>
      </w:r>
      <w:r>
        <w:t xml:space="preserve">– Where appellant prosecuted for alleged </w:t>
      </w:r>
      <w:r w:rsidRPr="007D2A96">
        <w:t>sexual offences committed against complainant between January 1982 and December 1987</w:t>
      </w:r>
      <w:r>
        <w:t xml:space="preserve"> – Where complainant turned </w:t>
      </w:r>
      <w:r w:rsidRPr="007D2A96">
        <w:t>16 years old on 6 July 1987</w:t>
      </w:r>
      <w:r>
        <w:t xml:space="preserve"> – Where, on 29 November 2018, appellant arraigned on indictment containing 18 counts – Where date range for alleged offences extended across 8 June 1984, with indictment drafted so that one count alleged offence against s 81, and another count, pleaded in alternative, alleged offence against s 78K, with dates commensurate with dates provisions were in force – Where, o</w:t>
      </w:r>
      <w:r w:rsidRPr="002C36B1">
        <w:t xml:space="preserve">n 1 December 2018, s 80AF of </w:t>
      </w:r>
      <w:r w:rsidRPr="00C41FB0">
        <w:rPr>
          <w:i/>
          <w:iCs/>
        </w:rPr>
        <w:t>Crimes Act</w:t>
      </w:r>
      <w:r w:rsidRPr="002C36B1">
        <w:t xml:space="preserve"> came into effect</w:t>
      </w:r>
      <w:r>
        <w:t xml:space="preserve"> – Where s 80AF applied</w:t>
      </w:r>
      <w:r w:rsidRPr="002C36B1">
        <w:t xml:space="preserve"> </w:t>
      </w:r>
      <w:r>
        <w:t>if: (a)</w:t>
      </w:r>
      <w:r w:rsidRPr="002C36B1">
        <w:t xml:space="preserve"> </w:t>
      </w:r>
      <w:r>
        <w:t>uncertainty</w:t>
      </w:r>
      <w:r w:rsidRPr="002C36B1">
        <w:t xml:space="preserve"> as to when during period conduct alleged to have occurred</w:t>
      </w:r>
      <w:r>
        <w:t xml:space="preserve">; (b) </w:t>
      </w:r>
      <w:r w:rsidRPr="002C36B1">
        <w:t>victim of alleged conduct child (under age of 16 years) for whole of period</w:t>
      </w:r>
      <w:r>
        <w:t xml:space="preserve">; (c) no time during that period that alleged conduct, if proven, would not have constituted sexual offence; and (d) </w:t>
      </w:r>
      <w:r w:rsidRPr="002C36B1">
        <w:t>because of change in law or change in age of child during that period, alleged conduct, if proven, would have constituted more than one sexual offence during that period</w:t>
      </w:r>
      <w:r>
        <w:t xml:space="preserve"> – Where s 80AF </w:t>
      </w:r>
      <w:r w:rsidRPr="002C36B1">
        <w:t>provided that prosecution could rely on offence carrying lesser maximum penalty for entirety of charged period</w:t>
      </w:r>
      <w:r>
        <w:t xml:space="preserve"> – Where indictment amended on 5 February 2019 to take benefit of s 80AF, with s 81 carrying lesser maximum penalty – Whether s 80AF of </w:t>
      </w:r>
      <w:r>
        <w:rPr>
          <w:i/>
          <w:iCs/>
        </w:rPr>
        <w:t>Crimes Act</w:t>
      </w:r>
      <w:r>
        <w:t xml:space="preserve">, which came into effect on 1 December 2018, had retrospective application to appellant's trial, which commenced no later than 29 November 2018 upon arraignment – Whether principles against retrospectivity infringed – Whether s 80AF procedural or substantive. </w:t>
      </w:r>
    </w:p>
    <w:p w14:paraId="10A815CD" w14:textId="77777777" w:rsidR="00744391" w:rsidRDefault="00744391" w:rsidP="00744391">
      <w:pPr>
        <w:pStyle w:val="Body"/>
        <w:ind w:left="720"/>
      </w:pPr>
    </w:p>
    <w:p w14:paraId="1B591AAA" w14:textId="77777777" w:rsidR="00744391" w:rsidRDefault="00744391" w:rsidP="00744391">
      <w:pPr>
        <w:pStyle w:val="Body"/>
      </w:pPr>
      <w:r>
        <w:rPr>
          <w:rStyle w:val="PageNumber"/>
          <w:rFonts w:eastAsia="Arial Unicode MS" w:cs="Arial Unicode MS"/>
          <w:b/>
          <w:bCs/>
          <w:lang w:val="en-US"/>
        </w:rPr>
        <w:t>Appealed from NSWSC</w:t>
      </w:r>
      <w:r>
        <w:rPr>
          <w:rStyle w:val="PageNumber"/>
          <w:rFonts w:eastAsia="Arial Unicode MS" w:cs="Arial Unicode MS"/>
          <w:b/>
          <w:bCs/>
        </w:rPr>
        <w:t xml:space="preserve"> (CCA):</w:t>
      </w:r>
      <w:r>
        <w:rPr>
          <w:rFonts w:eastAsia="Arial Unicode MS" w:cs="Arial Unicode MS"/>
        </w:rPr>
        <w:t xml:space="preserve"> </w:t>
      </w:r>
      <w:hyperlink r:id="rId41" w:history="1">
        <w:r w:rsidRPr="00E80491">
          <w:rPr>
            <w:rStyle w:val="Hyperlink"/>
            <w:rFonts w:cs="Verdana"/>
            <w:noProof w:val="0"/>
          </w:rPr>
          <w:t>[2021] NSWCCA 152</w:t>
        </w:r>
      </w:hyperlink>
      <w:r>
        <w:t xml:space="preserve">; </w:t>
      </w:r>
      <w:r w:rsidRPr="00E80491">
        <w:t>(2021) 290 A Crim R 303</w:t>
      </w:r>
    </w:p>
    <w:p w14:paraId="4460A048" w14:textId="77777777" w:rsidR="00744391" w:rsidRDefault="00744391" w:rsidP="00744391">
      <w:pPr>
        <w:pStyle w:val="Body"/>
      </w:pPr>
    </w:p>
    <w:p w14:paraId="49F1D0A8" w14:textId="77777777" w:rsidR="00744391" w:rsidRDefault="00744391" w:rsidP="00744391">
      <w:pPr>
        <w:pStyle w:val="Body"/>
        <w:rPr>
          <w:rStyle w:val="Link"/>
          <w:rFonts w:eastAsia="Arial Unicode MS" w:cs="Arial Unicode MS"/>
          <w:lang w:val="en-US"/>
        </w:rPr>
      </w:pPr>
      <w:r>
        <w:rPr>
          <w:rStyle w:val="Link"/>
          <w:rFonts w:eastAsia="Arial Unicode MS" w:cs="Arial Unicode MS"/>
          <w:lang w:val="en-US"/>
        </w:rPr>
        <w:t>Return to Top</w:t>
      </w:r>
    </w:p>
    <w:p w14:paraId="25CE9C0C" w14:textId="05E396AD" w:rsidR="0071714F" w:rsidRDefault="0071714F" w:rsidP="0071714F">
      <w:pPr>
        <w:pStyle w:val="Divider2"/>
        <w:rPr>
          <w:rFonts w:eastAsia="Arial Unicode MS"/>
          <w:lang w:val="en-US"/>
        </w:rPr>
      </w:pPr>
    </w:p>
    <w:p w14:paraId="221CB9E7" w14:textId="77777777" w:rsidR="00116C91" w:rsidRPr="00DF0641" w:rsidRDefault="00116C91" w:rsidP="00116C91"/>
    <w:p w14:paraId="43148AAA" w14:textId="77777777" w:rsidR="00116C91" w:rsidRPr="00523623" w:rsidRDefault="00116C91" w:rsidP="00116C91">
      <w:pPr>
        <w:pStyle w:val="Heading2"/>
      </w:pPr>
      <w:r>
        <w:t>Equity</w:t>
      </w:r>
    </w:p>
    <w:p w14:paraId="06187AFF" w14:textId="77777777" w:rsidR="00116C91" w:rsidRDefault="00116C91" w:rsidP="00116C91"/>
    <w:p w14:paraId="743336F1" w14:textId="77777777" w:rsidR="00116C91" w:rsidRPr="00116C91" w:rsidRDefault="00116C91" w:rsidP="00116C91">
      <w:pPr>
        <w:pStyle w:val="Heading3"/>
      </w:pPr>
      <w:bookmarkStart w:id="85" w:name="_Bosanac_v_Commissioner"/>
      <w:bookmarkEnd w:id="85"/>
      <w:r w:rsidRPr="00116C91">
        <w:t>Bosanac v Commissioner of Taxation &amp; Anor</w:t>
      </w:r>
    </w:p>
    <w:p w14:paraId="6BCF9F21" w14:textId="01B580C6" w:rsidR="00116C91" w:rsidRDefault="000F3638" w:rsidP="00116C91">
      <w:hyperlink r:id="rId42" w:history="1">
        <w:r w:rsidR="00116C91" w:rsidRPr="00116C91">
          <w:rPr>
            <w:rStyle w:val="Hyperlink"/>
            <w:rFonts w:cs="Verdana"/>
            <w:b/>
            <w:bCs/>
            <w:noProof w:val="0"/>
          </w:rPr>
          <w:t>P9/2022</w:t>
        </w:r>
      </w:hyperlink>
      <w:r w:rsidR="00116C91" w:rsidRPr="00116C91">
        <w:rPr>
          <w:b/>
        </w:rPr>
        <w:t>:</w:t>
      </w:r>
      <w:r w:rsidR="00116C91" w:rsidRPr="00116C91">
        <w:t xml:space="preserve"> </w:t>
      </w:r>
      <w:hyperlink r:id="rId43"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133</w:t>
        </w:r>
      </w:hyperlink>
    </w:p>
    <w:p w14:paraId="17189E44" w14:textId="77777777" w:rsidR="00116C91" w:rsidRDefault="00116C91" w:rsidP="00116C91"/>
    <w:p w14:paraId="267C5220" w14:textId="67D7FF29" w:rsidR="00116C91" w:rsidRPr="00523623" w:rsidRDefault="00116C91" w:rsidP="00116C91">
      <w:r w:rsidRPr="004E7695">
        <w:rPr>
          <w:b/>
        </w:rPr>
        <w:t>Date</w:t>
      </w:r>
      <w:r>
        <w:rPr>
          <w:b/>
        </w:rPr>
        <w:t xml:space="preserve"> heard</w:t>
      </w:r>
      <w:r w:rsidRPr="004E7695">
        <w:rPr>
          <w:b/>
        </w:rPr>
        <w:t xml:space="preserve">: </w:t>
      </w:r>
      <w:r>
        <w:t>16 August 2022</w:t>
      </w:r>
    </w:p>
    <w:p w14:paraId="0A674AAE" w14:textId="015A079B" w:rsidR="00116C91" w:rsidRDefault="00116C91" w:rsidP="00116C91"/>
    <w:p w14:paraId="75E27C74" w14:textId="677C5D96" w:rsidR="00116C91" w:rsidRPr="00116C91" w:rsidRDefault="00116C91" w:rsidP="00116C91">
      <w:r>
        <w:rPr>
          <w:b/>
          <w:bCs/>
        </w:rPr>
        <w:t>Coram:</w:t>
      </w:r>
      <w:r>
        <w:t xml:space="preserve"> </w:t>
      </w:r>
      <w:r w:rsidR="006159EF">
        <w:t xml:space="preserve">Kiefel CJ, Gageler, Gordon, </w:t>
      </w:r>
      <w:proofErr w:type="gramStart"/>
      <w:r w:rsidR="006159EF">
        <w:t>Edelman</w:t>
      </w:r>
      <w:proofErr w:type="gramEnd"/>
      <w:r w:rsidR="006159EF">
        <w:t xml:space="preserve"> and Gleeson JJ </w:t>
      </w:r>
    </w:p>
    <w:p w14:paraId="3E4317F2" w14:textId="77777777" w:rsidR="00116C91" w:rsidRPr="004E7695" w:rsidRDefault="00116C91" w:rsidP="00116C91"/>
    <w:p w14:paraId="37A89967" w14:textId="77777777" w:rsidR="00116C91" w:rsidRPr="004E7695" w:rsidRDefault="00116C91" w:rsidP="00116C91">
      <w:pPr>
        <w:rPr>
          <w:b/>
        </w:rPr>
      </w:pPr>
      <w:r w:rsidRPr="004E7695">
        <w:rPr>
          <w:b/>
        </w:rPr>
        <w:t>Catchwords:</w:t>
      </w:r>
    </w:p>
    <w:p w14:paraId="5A11D3FE" w14:textId="77777777" w:rsidR="00116C91" w:rsidRDefault="00116C91" w:rsidP="00116C91"/>
    <w:p w14:paraId="78FE8D5D" w14:textId="77777777" w:rsidR="00116C91" w:rsidRPr="00BC379A" w:rsidRDefault="00116C91" w:rsidP="00116C91">
      <w:pPr>
        <w:ind w:left="720"/>
      </w:pPr>
      <w:r>
        <w:t>Equity – Presumption of advancement – Beneficial ownership – Matrimonial home – Where Mr and Ms Bosanac ("</w:t>
      </w:r>
      <w:proofErr w:type="spellStart"/>
      <w:r>
        <w:t>Bosanacs</w:t>
      </w:r>
      <w:proofErr w:type="spellEnd"/>
      <w:r>
        <w:t xml:space="preserve">") married in 1998 – Where Ms Bosanac offered to purchase matrimonial home for $4.5 million ("Property") – Where  </w:t>
      </w:r>
      <w:proofErr w:type="spellStart"/>
      <w:r>
        <w:t>Bosanacs</w:t>
      </w:r>
      <w:proofErr w:type="spellEnd"/>
      <w:r>
        <w:t xml:space="preserve"> applied for two joint loans to purchase Property – Where Property transferred into sole name of Ms Bosanac – Where Commissioner applied for declaration </w:t>
      </w:r>
      <w:r>
        <w:lastRenderedPageBreak/>
        <w:t xml:space="preserve">that Ms Bosanac held 50% of her interest in Property on trust for Mr Bosanac – Where primary judge held presumption of advancement not rebutted – Where Full Court relied on fact Mr Bosanac borrowed money with Ms Bosanac to purchase Property to found rebuttal of presumption of advancement – Where Full Court relied on statement in </w:t>
      </w:r>
      <w:r w:rsidRPr="000D71A1">
        <w:rPr>
          <w:i/>
          <w:iCs/>
        </w:rPr>
        <w:t>The Trustees of the Property of Cummins (a bankrupt) v Cummins</w:t>
      </w:r>
      <w:r w:rsidRPr="000D71A1">
        <w:t xml:space="preserve"> (2006) 227 CLR 27</w:t>
      </w:r>
      <w:r>
        <w:t xml:space="preserve">8 at [71] that where </w:t>
      </w:r>
      <w:r w:rsidRPr="00637200">
        <w:t xml:space="preserve">husband and wife purchase matrimonial home, each contributing to purchase price and title is taken </w:t>
      </w:r>
      <w:r>
        <w:t>by one spouse</w:t>
      </w:r>
      <w:r w:rsidRPr="00637200">
        <w:t xml:space="preserve">, it be inferred each </w:t>
      </w:r>
      <w:r>
        <w:t>spouse</w:t>
      </w:r>
      <w:r w:rsidRPr="00637200">
        <w:t xml:space="preserve"> </w:t>
      </w:r>
      <w:r>
        <w:t>intended to</w:t>
      </w:r>
      <w:r w:rsidRPr="00637200">
        <w:t xml:space="preserve"> have one-half interest, regardless of amounts contributed </w:t>
      </w:r>
      <w:r>
        <w:t xml:space="preserve">– Whether rebuttal of presumption of advancement, applying to purchase by spouses of matrimonial home, can be founded on same facts giving rise to presumption of advancement – Whether, in considering whether presumption of advancement rebutted, court should consider spouses' intentions or any joint intention – Proper approach to rebuttal of presumption of advancement.  </w:t>
      </w:r>
    </w:p>
    <w:p w14:paraId="58821DAC" w14:textId="77777777" w:rsidR="00116C91" w:rsidRPr="00C32A1D" w:rsidRDefault="00116C91" w:rsidP="00116C91"/>
    <w:p w14:paraId="12B9371D" w14:textId="77777777" w:rsidR="00116C91" w:rsidRDefault="00116C91" w:rsidP="00116C91">
      <w:pPr>
        <w:rPr>
          <w:bCs/>
        </w:rPr>
      </w:pPr>
      <w:r w:rsidRPr="004E7695">
        <w:rPr>
          <w:b/>
        </w:rPr>
        <w:t xml:space="preserve">Appealed from </w:t>
      </w:r>
      <w:r>
        <w:rPr>
          <w:b/>
        </w:rPr>
        <w:t xml:space="preserve">FCA (FC): </w:t>
      </w:r>
      <w:hyperlink r:id="rId44" w:history="1">
        <w:r w:rsidRPr="00F563C3">
          <w:rPr>
            <w:rStyle w:val="Hyperlink"/>
            <w:rFonts w:cs="Verdana"/>
            <w:bCs/>
            <w:noProof w:val="0"/>
          </w:rPr>
          <w:t>[2021] FCAFC 158</w:t>
        </w:r>
      </w:hyperlink>
      <w:r>
        <w:rPr>
          <w:bCs/>
        </w:rPr>
        <w:t xml:space="preserve"> </w:t>
      </w:r>
    </w:p>
    <w:p w14:paraId="66840F07" w14:textId="77777777" w:rsidR="00116C91" w:rsidRDefault="00116C91" w:rsidP="00116C91">
      <w:pPr>
        <w:rPr>
          <w:bCs/>
        </w:rPr>
      </w:pPr>
    </w:p>
    <w:p w14:paraId="734161EC" w14:textId="77777777" w:rsidR="00116C91" w:rsidRDefault="00116C91" w:rsidP="00116C91">
      <w:pPr>
        <w:rPr>
          <w:b/>
        </w:rPr>
      </w:pPr>
      <w:r w:rsidRPr="005F1C25">
        <w:rPr>
          <w:b/>
        </w:rPr>
        <w:t>Appealed from FCA (FC):</w:t>
      </w:r>
      <w:r>
        <w:rPr>
          <w:bCs/>
        </w:rPr>
        <w:t xml:space="preserve"> </w:t>
      </w:r>
      <w:hyperlink r:id="rId45" w:history="1">
        <w:r w:rsidRPr="005F1C25">
          <w:rPr>
            <w:rStyle w:val="Hyperlink"/>
            <w:rFonts w:cs="Verdana"/>
            <w:bCs/>
            <w:noProof w:val="0"/>
          </w:rPr>
          <w:t>[2022] FCAFC 5</w:t>
        </w:r>
      </w:hyperlink>
    </w:p>
    <w:p w14:paraId="2E568788" w14:textId="77777777" w:rsidR="00116C91" w:rsidRPr="00E064DF" w:rsidRDefault="00116C91" w:rsidP="00116C91"/>
    <w:p w14:paraId="489A3C5B" w14:textId="77777777" w:rsidR="00116C91" w:rsidRPr="002314BE" w:rsidRDefault="000F3638" w:rsidP="00116C91">
      <w:hyperlink w:anchor="TOP" w:history="1">
        <w:r w:rsidR="00116C91" w:rsidRPr="004E7695">
          <w:rPr>
            <w:rStyle w:val="Hyperlink"/>
            <w:rFonts w:cs="Verdana"/>
            <w:bCs/>
          </w:rPr>
          <w:t>Return to Top</w:t>
        </w:r>
      </w:hyperlink>
    </w:p>
    <w:p w14:paraId="600A41A1" w14:textId="77777777" w:rsidR="00116C91" w:rsidRDefault="00116C91" w:rsidP="00116C91">
      <w:pPr>
        <w:pStyle w:val="Divider2"/>
        <w:pBdr>
          <w:bottom w:val="double" w:sz="6" w:space="0" w:color="auto"/>
        </w:pBdr>
      </w:pPr>
    </w:p>
    <w:p w14:paraId="04849DC6" w14:textId="77777777" w:rsidR="00116C91" w:rsidRDefault="00116C91" w:rsidP="00116C91"/>
    <w:p w14:paraId="6EA57810" w14:textId="77777777" w:rsidR="00116C91" w:rsidRDefault="00116C91" w:rsidP="00116C91">
      <w:pPr>
        <w:pStyle w:val="Heading2"/>
      </w:pPr>
      <w:r>
        <w:t>Evidence</w:t>
      </w:r>
    </w:p>
    <w:p w14:paraId="5CFBF46C" w14:textId="77777777" w:rsidR="00116C91" w:rsidRDefault="00116C91" w:rsidP="00116C91"/>
    <w:p w14:paraId="48DCC1C1" w14:textId="77777777" w:rsidR="00116C91" w:rsidRPr="006159EF" w:rsidRDefault="00116C91" w:rsidP="00116C91">
      <w:pPr>
        <w:pStyle w:val="Heading3"/>
      </w:pPr>
      <w:bookmarkStart w:id="86" w:name="_TL_v_The_1"/>
      <w:bookmarkEnd w:id="86"/>
      <w:r w:rsidRPr="006159EF">
        <w:t xml:space="preserve">TL v The Queen </w:t>
      </w:r>
    </w:p>
    <w:p w14:paraId="5801DFE1" w14:textId="7D7DD764" w:rsidR="00116C91" w:rsidRPr="00C97B7C" w:rsidRDefault="000F3638" w:rsidP="00116C91">
      <w:hyperlink r:id="rId46" w:history="1">
        <w:r w:rsidR="00116C91" w:rsidRPr="006159EF">
          <w:rPr>
            <w:rStyle w:val="Hyperlink"/>
            <w:rFonts w:cs="Verdana"/>
            <w:b/>
            <w:bCs/>
            <w:noProof w:val="0"/>
          </w:rPr>
          <w:t>S61/2022</w:t>
        </w:r>
      </w:hyperlink>
      <w:r w:rsidR="00116C91" w:rsidRPr="006159EF">
        <w:rPr>
          <w:b/>
          <w:bCs/>
        </w:rPr>
        <w:t>:</w:t>
      </w:r>
      <w:r w:rsidR="00116C91" w:rsidRPr="006159EF">
        <w:t xml:space="preserve"> </w:t>
      </w:r>
      <w:hyperlink r:id="rId47" w:history="1">
        <w:r w:rsidR="006159EF" w:rsidRPr="006159EF">
          <w:rPr>
            <w:rStyle w:val="Hyperlink"/>
            <w:rFonts w:cs="Verdana"/>
            <w:noProof w:val="0"/>
          </w:rPr>
          <w:t xml:space="preserve">[2022] </w:t>
        </w:r>
        <w:proofErr w:type="spellStart"/>
        <w:r w:rsidR="006159EF" w:rsidRPr="006159EF">
          <w:rPr>
            <w:rStyle w:val="Hyperlink"/>
            <w:rFonts w:cs="Verdana"/>
            <w:noProof w:val="0"/>
          </w:rPr>
          <w:t>HCATrans</w:t>
        </w:r>
        <w:proofErr w:type="spellEnd"/>
        <w:r w:rsidR="006159EF" w:rsidRPr="006159EF">
          <w:rPr>
            <w:rStyle w:val="Hyperlink"/>
            <w:rFonts w:cs="Verdana"/>
            <w:noProof w:val="0"/>
          </w:rPr>
          <w:t xml:space="preserve"> 134</w:t>
        </w:r>
      </w:hyperlink>
    </w:p>
    <w:p w14:paraId="5AF6A19D" w14:textId="77777777" w:rsidR="00116C91" w:rsidRPr="00C97B7C" w:rsidRDefault="00116C91" w:rsidP="00116C91"/>
    <w:p w14:paraId="42A2ECEF" w14:textId="18168448" w:rsidR="00116C91" w:rsidRDefault="00116C91" w:rsidP="00116C91">
      <w:pPr>
        <w:rPr>
          <w:iCs/>
          <w:lang w:val="en-US"/>
        </w:rPr>
      </w:pPr>
      <w:r w:rsidRPr="00C97B7C">
        <w:rPr>
          <w:b/>
          <w:bCs/>
          <w:lang w:val="en-US"/>
        </w:rPr>
        <w:t>Date heard:</w:t>
      </w:r>
      <w:r w:rsidRPr="00C97B7C">
        <w:t xml:space="preserve"> </w:t>
      </w:r>
      <w:r w:rsidR="006159EF">
        <w:rPr>
          <w:lang w:val="en-US"/>
        </w:rPr>
        <w:t xml:space="preserve">17 August 2022 </w:t>
      </w:r>
      <w:r w:rsidRPr="00C97B7C">
        <w:rPr>
          <w:i/>
          <w:lang w:val="en-US"/>
        </w:rPr>
        <w:t xml:space="preserve"> </w:t>
      </w:r>
    </w:p>
    <w:p w14:paraId="7275ABFF" w14:textId="27544941" w:rsidR="00116C91" w:rsidRDefault="00116C91" w:rsidP="00116C91">
      <w:pPr>
        <w:rPr>
          <w:iCs/>
          <w:lang w:val="en-US"/>
        </w:rPr>
      </w:pPr>
    </w:p>
    <w:p w14:paraId="678B0094" w14:textId="30D9B2A6" w:rsidR="00116C91" w:rsidRPr="006159EF" w:rsidRDefault="00116C91" w:rsidP="00116C91">
      <w:pPr>
        <w:rPr>
          <w:iCs/>
        </w:rPr>
      </w:pPr>
      <w:r>
        <w:rPr>
          <w:b/>
          <w:bCs/>
          <w:iCs/>
          <w:lang w:val="en-US"/>
        </w:rPr>
        <w:t>Coram:</w:t>
      </w:r>
      <w:r w:rsidR="006159EF">
        <w:rPr>
          <w:b/>
          <w:bCs/>
          <w:iCs/>
          <w:lang w:val="en-US"/>
        </w:rPr>
        <w:t xml:space="preserve"> </w:t>
      </w:r>
      <w:r w:rsidR="006159EF">
        <w:rPr>
          <w:iCs/>
          <w:lang w:val="en-US"/>
        </w:rPr>
        <w:t xml:space="preserve">Kiefel CJ, Gageler, Gordon, Steward and Gleeson JJ </w:t>
      </w:r>
    </w:p>
    <w:p w14:paraId="7F68720C" w14:textId="77777777" w:rsidR="00116C91" w:rsidRPr="00C97B7C" w:rsidRDefault="00116C91" w:rsidP="00116C91"/>
    <w:p w14:paraId="64EC45C5" w14:textId="77777777" w:rsidR="00116C91" w:rsidRPr="00C97B7C" w:rsidRDefault="00116C91" w:rsidP="00116C91">
      <w:pPr>
        <w:rPr>
          <w:b/>
          <w:bCs/>
        </w:rPr>
      </w:pPr>
      <w:r w:rsidRPr="00C97B7C">
        <w:rPr>
          <w:b/>
          <w:bCs/>
          <w:lang w:val="de-DE"/>
        </w:rPr>
        <w:t>Catchwords:</w:t>
      </w:r>
    </w:p>
    <w:p w14:paraId="573D89E1" w14:textId="77777777" w:rsidR="00116C91" w:rsidRPr="00C97B7C" w:rsidRDefault="00116C91" w:rsidP="00116C91">
      <w:pPr>
        <w:rPr>
          <w:b/>
          <w:bCs/>
        </w:rPr>
      </w:pPr>
    </w:p>
    <w:p w14:paraId="6EDF6B7B" w14:textId="20FCA9A2" w:rsidR="00116C91" w:rsidRPr="00C97B7C" w:rsidRDefault="00116C91" w:rsidP="00116C91">
      <w:r>
        <w:rPr>
          <w:lang w:val="en-US"/>
        </w:rPr>
        <w:t>Evidence</w:t>
      </w:r>
      <w:r w:rsidRPr="00C97B7C">
        <w:rPr>
          <w:lang w:val="en-US"/>
        </w:rPr>
        <w:t xml:space="preserve"> – Tendency evidence – </w:t>
      </w:r>
      <w:r>
        <w:rPr>
          <w:lang w:val="en-US"/>
        </w:rPr>
        <w:t xml:space="preserve">Proof of identity – </w:t>
      </w:r>
      <w:r w:rsidRPr="00C97B7C">
        <w:rPr>
          <w:lang w:val="en-US"/>
        </w:rPr>
        <w:t xml:space="preserve">Where appellant convicted of murder of partner's child – Where blunt force trauma to abdomen cause of death – Where, 10 days prior, child suffered burns after appellant placed child in hot water – Where evidence of burns admitted as tendency evidence pursuant to s 97 of </w:t>
      </w:r>
      <w:r w:rsidRPr="00C97B7C">
        <w:rPr>
          <w:i/>
          <w:iCs/>
          <w:lang w:val="en-US"/>
        </w:rPr>
        <w:t xml:space="preserve">Evidence Act 1995 </w:t>
      </w:r>
      <w:r w:rsidRPr="00C97B7C">
        <w:rPr>
          <w:lang w:val="en-US"/>
        </w:rPr>
        <w:t xml:space="preserve">(NSW) to prove appellant's tendency to </w:t>
      </w:r>
      <w:r>
        <w:rPr>
          <w:lang w:val="en-US"/>
        </w:rPr>
        <w:t>"</w:t>
      </w:r>
      <w:r w:rsidRPr="00C97B7C">
        <w:rPr>
          <w:lang w:val="en-US"/>
        </w:rPr>
        <w:t>deliberately inflict physical harm on child</w:t>
      </w:r>
      <w:r>
        <w:rPr>
          <w:lang w:val="en-US"/>
        </w:rPr>
        <w:t>"</w:t>
      </w:r>
      <w:r w:rsidRPr="00C97B7C">
        <w:rPr>
          <w:lang w:val="en-US"/>
        </w:rPr>
        <w:t xml:space="preserve"> – Where appellant convicted and appealed against conviction on grounds including that tendency evidence should not have been admitted – Where appellant relied on statement in </w:t>
      </w:r>
      <w:r w:rsidRPr="00C97B7C">
        <w:rPr>
          <w:i/>
          <w:iCs/>
          <w:lang w:val="en-US"/>
        </w:rPr>
        <w:t>Hughes v The Queen</w:t>
      </w:r>
      <w:r w:rsidRPr="00C97B7C">
        <w:rPr>
          <w:lang w:val="en-US"/>
        </w:rPr>
        <w:t xml:space="preserve"> (2017) 263 CLR 388 concerning requirement for </w:t>
      </w:r>
      <w:r>
        <w:rPr>
          <w:lang w:val="en-US"/>
        </w:rPr>
        <w:t>"</w:t>
      </w:r>
      <w:r w:rsidRPr="00C97B7C">
        <w:rPr>
          <w:lang w:val="en-US"/>
        </w:rPr>
        <w:t>close similarity</w:t>
      </w:r>
      <w:r>
        <w:rPr>
          <w:lang w:val="en-US"/>
        </w:rPr>
        <w:t>"</w:t>
      </w:r>
      <w:r w:rsidRPr="00C97B7C">
        <w:rPr>
          <w:lang w:val="en-US"/>
        </w:rPr>
        <w:t xml:space="preserve"> between tendency alleged and offence charged – Where Court of Criminal Appeal held requirement for </w:t>
      </w:r>
      <w:r>
        <w:rPr>
          <w:lang w:val="en-US"/>
        </w:rPr>
        <w:t>"</w:t>
      </w:r>
      <w:r w:rsidRPr="00C97B7C">
        <w:rPr>
          <w:lang w:val="en-US"/>
        </w:rPr>
        <w:t>close similarity</w:t>
      </w:r>
      <w:r>
        <w:rPr>
          <w:lang w:val="en-US"/>
        </w:rPr>
        <w:t>"</w:t>
      </w:r>
      <w:r w:rsidRPr="00C97B7C">
        <w:rPr>
          <w:lang w:val="en-US"/>
        </w:rPr>
        <w:t xml:space="preserve"> should arise when tendency evidence only or predominant evidence that goes to identity – Whether, where tendency evidence adduced to prove identity of offender for known offence, probative value of tendency evidence will depend upon close similarity between conduct </w:t>
      </w:r>
      <w:r w:rsidRPr="00C97B7C">
        <w:rPr>
          <w:lang w:val="en-US"/>
        </w:rPr>
        <w:lastRenderedPageBreak/>
        <w:t xml:space="preserve">evidencing tendency and offence – Proper approach to principle articulated in </w:t>
      </w:r>
      <w:r w:rsidRPr="00C97B7C">
        <w:rPr>
          <w:i/>
          <w:iCs/>
          <w:lang w:val="en-US"/>
        </w:rPr>
        <w:t>Hughes</w:t>
      </w:r>
      <w:r w:rsidRPr="00C97B7C">
        <w:rPr>
          <w:lang w:val="en-US"/>
        </w:rPr>
        <w:t xml:space="preserve">. </w:t>
      </w:r>
    </w:p>
    <w:p w14:paraId="0C2B395C" w14:textId="77777777" w:rsidR="00116C91" w:rsidRPr="00C97B7C" w:rsidRDefault="00116C91" w:rsidP="00116C91"/>
    <w:p w14:paraId="714432A5" w14:textId="77777777" w:rsidR="00116C91" w:rsidRPr="00C97B7C" w:rsidRDefault="00116C91" w:rsidP="00116C91">
      <w:r w:rsidRPr="00C97B7C">
        <w:rPr>
          <w:b/>
          <w:bCs/>
          <w:lang w:val="en-US"/>
        </w:rPr>
        <w:t>Appealed from NSW</w:t>
      </w:r>
      <w:r w:rsidRPr="00C97B7C">
        <w:rPr>
          <w:b/>
          <w:bCs/>
        </w:rPr>
        <w:t xml:space="preserve"> (CCA):</w:t>
      </w:r>
      <w:r w:rsidRPr="00C97B7C">
        <w:t xml:space="preserve"> </w:t>
      </w:r>
      <w:hyperlink r:id="rId48" w:history="1">
        <w:r w:rsidRPr="00C97B7C">
          <w:rPr>
            <w:rStyle w:val="Hyperlink"/>
            <w:rFonts w:cs="Verdana"/>
            <w:noProof w:val="0"/>
          </w:rPr>
          <w:t>[2020] NSWCCA 265</w:t>
        </w:r>
      </w:hyperlink>
    </w:p>
    <w:p w14:paraId="6057D4EE" w14:textId="77777777" w:rsidR="00116C91" w:rsidRPr="00C97B7C" w:rsidRDefault="00116C91" w:rsidP="00116C91"/>
    <w:p w14:paraId="2490AB5E" w14:textId="77777777" w:rsidR="00116C91" w:rsidRPr="002314BE" w:rsidRDefault="000F3638" w:rsidP="00116C91">
      <w:hyperlink w:anchor="TOP" w:history="1">
        <w:r w:rsidR="00116C91" w:rsidRPr="004E7695">
          <w:rPr>
            <w:rStyle w:val="Hyperlink"/>
            <w:rFonts w:cs="Verdana"/>
            <w:bCs/>
          </w:rPr>
          <w:t>Return to Top</w:t>
        </w:r>
      </w:hyperlink>
    </w:p>
    <w:p w14:paraId="5D0B071E" w14:textId="77777777" w:rsidR="00116C91" w:rsidRPr="00C97B7C" w:rsidRDefault="00116C91" w:rsidP="00116C91">
      <w:pPr>
        <w:pStyle w:val="Divider2"/>
      </w:pPr>
    </w:p>
    <w:p w14:paraId="475B3923" w14:textId="77777777" w:rsidR="00116C91" w:rsidRPr="002052C8" w:rsidRDefault="00116C91" w:rsidP="002052C8">
      <w:pPr>
        <w:rPr>
          <w:rFonts w:eastAsia="Arial Unicode MS"/>
          <w:lang w:val="en-US"/>
        </w:rPr>
      </w:pPr>
    </w:p>
    <w:bookmarkEnd w:id="73"/>
    <w:p w14:paraId="5EADE616" w14:textId="77777777" w:rsidR="005C70EB" w:rsidRPr="00523623" w:rsidRDefault="005C70EB" w:rsidP="005C70EB">
      <w:pPr>
        <w:pStyle w:val="Heading2"/>
      </w:pPr>
      <w:r>
        <w:t>Insurance</w:t>
      </w:r>
    </w:p>
    <w:p w14:paraId="5060BD6C" w14:textId="77777777" w:rsidR="005C70EB" w:rsidRDefault="005C70EB" w:rsidP="005C70EB"/>
    <w:p w14:paraId="2A4FB380" w14:textId="77777777" w:rsidR="005C70EB" w:rsidRDefault="005C70EB" w:rsidP="005C70EB">
      <w:pPr>
        <w:pStyle w:val="Heading3"/>
      </w:pPr>
      <w:bookmarkStart w:id="87" w:name="_Allianz_Australia_Insurance"/>
      <w:bookmarkEnd w:id="87"/>
      <w:r>
        <w:t xml:space="preserve">Allianz Australia Insurance Limited v </w:t>
      </w:r>
      <w:proofErr w:type="spellStart"/>
      <w:r>
        <w:t>Delor</w:t>
      </w:r>
      <w:proofErr w:type="spellEnd"/>
      <w:r>
        <w:t xml:space="preserve"> Vue Apartments CTS 39788</w:t>
      </w:r>
    </w:p>
    <w:p w14:paraId="4EA5F21E" w14:textId="6100BA09" w:rsidR="005C70EB" w:rsidRDefault="000F3638" w:rsidP="005C70EB">
      <w:hyperlink r:id="rId49" w:history="1">
        <w:r w:rsidR="005C70EB" w:rsidRPr="006F1472">
          <w:rPr>
            <w:rStyle w:val="Hyperlink"/>
            <w:rFonts w:cs="Verdana"/>
            <w:b/>
            <w:bCs/>
            <w:noProof w:val="0"/>
          </w:rPr>
          <w:t>S42/2022</w:t>
        </w:r>
      </w:hyperlink>
      <w:r w:rsidR="005C70EB" w:rsidRPr="00BC379A">
        <w:rPr>
          <w:b/>
        </w:rPr>
        <w:t>:</w:t>
      </w:r>
      <w:r w:rsidR="005C70EB" w:rsidRPr="00464ED0">
        <w:t xml:space="preserve"> </w:t>
      </w:r>
      <w:hyperlink r:id="rId50"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126</w:t>
        </w:r>
      </w:hyperlink>
      <w:r w:rsidR="00116C91">
        <w:t xml:space="preserve">; </w:t>
      </w:r>
      <w:hyperlink r:id="rId51"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127</w:t>
        </w:r>
      </w:hyperlink>
    </w:p>
    <w:p w14:paraId="4F4640B7" w14:textId="77777777" w:rsidR="005C70EB" w:rsidRDefault="005C70EB" w:rsidP="005C70EB"/>
    <w:p w14:paraId="552D81D3" w14:textId="48B228AA" w:rsidR="005C70EB" w:rsidRDefault="005C70EB" w:rsidP="005C70EB">
      <w:r w:rsidRPr="004E7695">
        <w:rPr>
          <w:b/>
        </w:rPr>
        <w:t>Date</w:t>
      </w:r>
      <w:r>
        <w:rPr>
          <w:b/>
        </w:rPr>
        <w:t xml:space="preserve"> heard</w:t>
      </w:r>
      <w:r w:rsidRPr="004E7695">
        <w:rPr>
          <w:b/>
        </w:rPr>
        <w:t xml:space="preserve">: </w:t>
      </w:r>
      <w:r>
        <w:t>10 and 11 August 2022</w:t>
      </w:r>
    </w:p>
    <w:p w14:paraId="75CEE170" w14:textId="1CAB842B" w:rsidR="005C70EB" w:rsidRDefault="005C70EB" w:rsidP="005C70EB"/>
    <w:p w14:paraId="7AFA3079" w14:textId="1D6FEFA0" w:rsidR="005C70EB" w:rsidRPr="00523623" w:rsidRDefault="005C70EB" w:rsidP="005C70EB">
      <w:r w:rsidRPr="00744391">
        <w:rPr>
          <w:b/>
          <w:bCs/>
        </w:rPr>
        <w:t>Coram:</w:t>
      </w:r>
      <w:r>
        <w:t xml:space="preserve"> </w:t>
      </w:r>
      <w:r w:rsidRPr="005466AB">
        <w:t>Kiefel CJ, Gageler,</w:t>
      </w:r>
      <w:r>
        <w:t xml:space="preserve"> </w:t>
      </w:r>
      <w:r w:rsidRPr="005466AB">
        <w:t>Edelman</w:t>
      </w:r>
      <w:r>
        <w:t xml:space="preserve">, </w:t>
      </w:r>
      <w:r w:rsidRPr="005466AB">
        <w:t xml:space="preserve">Steward </w:t>
      </w:r>
      <w:r>
        <w:t xml:space="preserve">and Gleeson </w:t>
      </w:r>
      <w:r w:rsidRPr="005466AB">
        <w:t>JJ</w:t>
      </w:r>
    </w:p>
    <w:p w14:paraId="4DDA5138" w14:textId="77777777" w:rsidR="005C70EB" w:rsidRPr="004E7695" w:rsidRDefault="005C70EB" w:rsidP="005C70EB"/>
    <w:p w14:paraId="4B6ABBD1" w14:textId="77777777" w:rsidR="005C70EB" w:rsidRPr="004E7695" w:rsidRDefault="005C70EB" w:rsidP="005C70EB">
      <w:pPr>
        <w:rPr>
          <w:b/>
        </w:rPr>
      </w:pPr>
      <w:r w:rsidRPr="004E7695">
        <w:rPr>
          <w:b/>
        </w:rPr>
        <w:t>Catchwords:</w:t>
      </w:r>
    </w:p>
    <w:p w14:paraId="58B41F09" w14:textId="77777777" w:rsidR="005C70EB" w:rsidRDefault="005C70EB" w:rsidP="005C70EB"/>
    <w:p w14:paraId="11177B82" w14:textId="77777777" w:rsidR="005C70EB" w:rsidRDefault="005C70EB" w:rsidP="005C70EB">
      <w:pPr>
        <w:ind w:left="720"/>
      </w:pPr>
      <w:r>
        <w:t xml:space="preserve">Insurance – Insurance contracts – Indemnity – Election – Estoppel – Waiver – Duty of utmost good faith – Where s 28(3) of </w:t>
      </w:r>
      <w:r w:rsidRPr="008F6337">
        <w:rPr>
          <w:i/>
          <w:iCs/>
        </w:rPr>
        <w:t>Insurance Contracts Act 1984</w:t>
      </w:r>
      <w:r w:rsidRPr="008F6337">
        <w:t xml:space="preserve"> (Cth)</w:t>
      </w:r>
      <w:r>
        <w:t xml:space="preserve"> enables insurer to reduce liability in respect of claim where, relevantly, insured breached duty of disclosure – Where insured notified claim under insurance policy following cyclone damage – Where insurer agreed to indemnify despite non-disclosure of prior defects – Where insurer took steps consistent with providing</w:t>
      </w:r>
    </w:p>
    <w:p w14:paraId="4CE9D888" w14:textId="77777777" w:rsidR="005C70EB" w:rsidRPr="00BC379A" w:rsidRDefault="005C70EB" w:rsidP="005C70EB">
      <w:pPr>
        <w:ind w:left="720"/>
      </w:pPr>
      <w:r>
        <w:t>indemnity – Where insurer emailed insured stating, despite non-disclosure, claim would be honoured – Where insurer subsequently sought to disclaim liability on basis of non-disclosure – Where majority of Full Court of Federal Court of Australia dismissed appeal, holding insurer had elected not to raise defence under s 28(3) – Whether insurer elected not to raise defence under s 28(3) – Whether, if doctrine of election did not apply, insurer waived entitlement to raise defence under s 28(3) – Whether insurer estopped from raising defence under s 28(3) – Whether insured suffered detriment – Whether insurer breached duty of utmost good faith and, if so, whether insured suffered loss justifying relief.</w:t>
      </w:r>
    </w:p>
    <w:p w14:paraId="4224BCFC" w14:textId="77777777" w:rsidR="005C70EB" w:rsidRPr="00C32A1D" w:rsidRDefault="005C70EB" w:rsidP="005C70EB"/>
    <w:p w14:paraId="1672F8C0" w14:textId="7D11AE2D" w:rsidR="005C70EB" w:rsidRPr="008F6337" w:rsidRDefault="005C70EB" w:rsidP="005C70EB">
      <w:pPr>
        <w:rPr>
          <w:bCs/>
        </w:rPr>
      </w:pPr>
      <w:r w:rsidRPr="004E7695">
        <w:rPr>
          <w:b/>
        </w:rPr>
        <w:t xml:space="preserve">Appealed from </w:t>
      </w:r>
      <w:r>
        <w:rPr>
          <w:b/>
        </w:rPr>
        <w:t xml:space="preserve">FCA (FC): </w:t>
      </w:r>
      <w:hyperlink r:id="rId52" w:history="1">
        <w:r w:rsidRPr="008F6337">
          <w:rPr>
            <w:rStyle w:val="Hyperlink"/>
            <w:rFonts w:cs="Verdana"/>
            <w:bCs/>
            <w:noProof w:val="0"/>
          </w:rPr>
          <w:t>[2021] FCAFC 121</w:t>
        </w:r>
      </w:hyperlink>
      <w:r>
        <w:rPr>
          <w:bCs/>
        </w:rPr>
        <w:t xml:space="preserve">; </w:t>
      </w:r>
      <w:r w:rsidR="005E3E92" w:rsidRPr="005E3E92">
        <w:rPr>
          <w:bCs/>
        </w:rPr>
        <w:t>(2021) 287 FCR 388</w:t>
      </w:r>
      <w:r w:rsidR="005E3E92">
        <w:rPr>
          <w:bCs/>
        </w:rPr>
        <w:t>;</w:t>
      </w:r>
      <w:r w:rsidR="005E3E92" w:rsidRPr="005E3E92">
        <w:rPr>
          <w:bCs/>
        </w:rPr>
        <w:t xml:space="preserve"> </w:t>
      </w:r>
      <w:r>
        <w:rPr>
          <w:bCs/>
        </w:rPr>
        <w:t xml:space="preserve">(2021) </w:t>
      </w:r>
      <w:r w:rsidRPr="008F6337">
        <w:rPr>
          <w:bCs/>
        </w:rPr>
        <w:t>396 ALR 27</w:t>
      </w:r>
      <w:r>
        <w:rPr>
          <w:bCs/>
        </w:rPr>
        <w:t xml:space="preserve">; (2021) </w:t>
      </w:r>
      <w:r w:rsidRPr="008F6337">
        <w:rPr>
          <w:bCs/>
        </w:rPr>
        <w:t>153 ACSR 522</w:t>
      </w:r>
    </w:p>
    <w:p w14:paraId="53BD9220" w14:textId="77777777" w:rsidR="005C70EB" w:rsidRPr="00E064DF" w:rsidRDefault="005C70EB" w:rsidP="005C70EB"/>
    <w:p w14:paraId="2A9BAE31" w14:textId="77777777" w:rsidR="005C70EB" w:rsidRPr="002314BE" w:rsidRDefault="000F3638" w:rsidP="005C70EB">
      <w:hyperlink w:anchor="TOP" w:history="1">
        <w:r w:rsidR="005C70EB" w:rsidRPr="004E7695">
          <w:rPr>
            <w:rStyle w:val="Hyperlink"/>
            <w:rFonts w:cs="Verdana"/>
            <w:bCs/>
          </w:rPr>
          <w:t>Return to Top</w:t>
        </w:r>
      </w:hyperlink>
    </w:p>
    <w:p w14:paraId="29A79999" w14:textId="0B46385D" w:rsidR="00744391" w:rsidRDefault="00744391" w:rsidP="00744391">
      <w:pPr>
        <w:pStyle w:val="Divider2"/>
      </w:pPr>
      <w:bookmarkStart w:id="88" w:name="_Hlk96078574"/>
      <w:bookmarkStart w:id="89" w:name="_Toc270610023"/>
      <w:bookmarkStart w:id="90" w:name="_Ref474848358"/>
      <w:bookmarkStart w:id="91" w:name="_Ref474848394"/>
      <w:bookmarkStart w:id="92" w:name="Original_Jurisdiction"/>
    </w:p>
    <w:bookmarkEnd w:id="88"/>
    <w:p w14:paraId="3593C842" w14:textId="77777777" w:rsidR="005C70EB" w:rsidRPr="00D64ED0" w:rsidRDefault="005C70EB" w:rsidP="005C70EB"/>
    <w:p w14:paraId="0176587C" w14:textId="77777777" w:rsidR="005C70EB" w:rsidRPr="00523623" w:rsidRDefault="005C70EB" w:rsidP="005C70EB">
      <w:pPr>
        <w:pStyle w:val="Heading2"/>
      </w:pPr>
      <w:r>
        <w:t>Representative Proceedings</w:t>
      </w:r>
    </w:p>
    <w:p w14:paraId="342D2B9E" w14:textId="77777777" w:rsidR="005C70EB" w:rsidRDefault="005C70EB" w:rsidP="005C70EB"/>
    <w:p w14:paraId="43EF2A6F" w14:textId="77777777" w:rsidR="005C70EB" w:rsidRDefault="005C70EB" w:rsidP="005C70EB">
      <w:pPr>
        <w:pStyle w:val="Heading3"/>
      </w:pPr>
      <w:bookmarkStart w:id="93" w:name="_BHP_Group_Limited"/>
      <w:bookmarkEnd w:id="93"/>
      <w:r>
        <w:t>BHP</w:t>
      </w:r>
      <w:r w:rsidRPr="006F5CE0">
        <w:t xml:space="preserve"> Group Limited v </w:t>
      </w:r>
      <w:proofErr w:type="spellStart"/>
      <w:r w:rsidRPr="006F5CE0">
        <w:t>Impiombato</w:t>
      </w:r>
      <w:proofErr w:type="spellEnd"/>
      <w:r w:rsidRPr="006F5CE0">
        <w:t xml:space="preserve"> &amp; Anor</w:t>
      </w:r>
    </w:p>
    <w:p w14:paraId="493BC817" w14:textId="387D9B05" w:rsidR="005C70EB" w:rsidRDefault="000F3638" w:rsidP="005C70EB">
      <w:hyperlink r:id="rId53" w:history="1">
        <w:r w:rsidR="005C70EB" w:rsidRPr="0070429D">
          <w:rPr>
            <w:rStyle w:val="Hyperlink"/>
            <w:rFonts w:cs="Verdana"/>
            <w:b/>
            <w:bCs/>
            <w:noProof w:val="0"/>
          </w:rPr>
          <w:t>M12/2022</w:t>
        </w:r>
      </w:hyperlink>
      <w:r w:rsidR="005C70EB" w:rsidRPr="00BC379A">
        <w:rPr>
          <w:b/>
        </w:rPr>
        <w:t>:</w:t>
      </w:r>
      <w:r w:rsidR="005C70EB" w:rsidRPr="00464ED0">
        <w:t xml:space="preserve"> </w:t>
      </w:r>
      <w:hyperlink r:id="rId54" w:history="1">
        <w:r w:rsidR="006159EF" w:rsidRPr="006159EF">
          <w:rPr>
            <w:rStyle w:val="Hyperlink"/>
            <w:rFonts w:cs="Verdana"/>
            <w:noProof w:val="0"/>
          </w:rPr>
          <w:t xml:space="preserve">[2022] </w:t>
        </w:r>
        <w:proofErr w:type="spellStart"/>
        <w:r w:rsidR="006159EF" w:rsidRPr="006159EF">
          <w:rPr>
            <w:rStyle w:val="Hyperlink"/>
            <w:rFonts w:cs="Verdana"/>
            <w:noProof w:val="0"/>
          </w:rPr>
          <w:t>HCATrans</w:t>
        </w:r>
        <w:proofErr w:type="spellEnd"/>
        <w:r w:rsidR="006159EF" w:rsidRPr="006159EF">
          <w:rPr>
            <w:rStyle w:val="Hyperlink"/>
            <w:rFonts w:cs="Verdana"/>
            <w:noProof w:val="0"/>
          </w:rPr>
          <w:t xml:space="preserve"> 124</w:t>
        </w:r>
      </w:hyperlink>
    </w:p>
    <w:p w14:paraId="157801C2" w14:textId="77777777" w:rsidR="005C70EB" w:rsidRDefault="005C70EB" w:rsidP="005C70EB"/>
    <w:p w14:paraId="37E83C6E" w14:textId="217C9B17" w:rsidR="005C70EB" w:rsidRPr="00523623" w:rsidRDefault="005C70EB" w:rsidP="005C70EB">
      <w:r w:rsidRPr="004E7695">
        <w:rPr>
          <w:b/>
        </w:rPr>
        <w:t>Date</w:t>
      </w:r>
      <w:r>
        <w:rPr>
          <w:b/>
        </w:rPr>
        <w:t xml:space="preserve"> heard</w:t>
      </w:r>
      <w:r w:rsidRPr="004E7695">
        <w:rPr>
          <w:b/>
        </w:rPr>
        <w:t xml:space="preserve">: </w:t>
      </w:r>
      <w:r>
        <w:t>9 August 2022</w:t>
      </w:r>
    </w:p>
    <w:p w14:paraId="63631057" w14:textId="6A488BFD" w:rsidR="005C70EB" w:rsidRDefault="005C70EB" w:rsidP="005C70EB"/>
    <w:p w14:paraId="7C2F51F5" w14:textId="15051EF8" w:rsidR="005C70EB" w:rsidRDefault="005C70EB" w:rsidP="005C70EB">
      <w:r w:rsidRPr="00744391">
        <w:rPr>
          <w:b/>
          <w:bCs/>
        </w:rPr>
        <w:t>Coram:</w:t>
      </w:r>
      <w:r>
        <w:t xml:space="preserve"> </w:t>
      </w:r>
      <w:r w:rsidRPr="005466AB">
        <w:t xml:space="preserve">Kiefel CJ, Gageler, Gordon, </w:t>
      </w:r>
      <w:proofErr w:type="gramStart"/>
      <w:r w:rsidRPr="005466AB">
        <w:t>Edelman</w:t>
      </w:r>
      <w:proofErr w:type="gramEnd"/>
      <w:r>
        <w:t xml:space="preserve"> and</w:t>
      </w:r>
      <w:r w:rsidRPr="005466AB">
        <w:t xml:space="preserve"> Steward JJ</w:t>
      </w:r>
    </w:p>
    <w:p w14:paraId="3A4DAD81" w14:textId="77777777" w:rsidR="005C70EB" w:rsidRPr="004E7695" w:rsidRDefault="005C70EB" w:rsidP="005C70EB"/>
    <w:p w14:paraId="6A76C546" w14:textId="77777777" w:rsidR="005C70EB" w:rsidRPr="004E7695" w:rsidRDefault="005C70EB" w:rsidP="005C70EB">
      <w:pPr>
        <w:rPr>
          <w:b/>
        </w:rPr>
      </w:pPr>
      <w:r w:rsidRPr="004E7695">
        <w:rPr>
          <w:b/>
        </w:rPr>
        <w:t>Catchwords:</w:t>
      </w:r>
    </w:p>
    <w:p w14:paraId="697B0F4E" w14:textId="77777777" w:rsidR="005C70EB" w:rsidRDefault="005C70EB" w:rsidP="005C70EB"/>
    <w:p w14:paraId="31070D5C" w14:textId="18046C11" w:rsidR="005C70EB" w:rsidRPr="00BC379A" w:rsidRDefault="005C70EB" w:rsidP="005C70EB">
      <w:pPr>
        <w:ind w:left="720"/>
      </w:pPr>
      <w:r>
        <w:t xml:space="preserve">Representative proceedings – Shareholder class action – Non-resident shareholders – </w:t>
      </w:r>
      <w:r w:rsidRPr="008A27D2">
        <w:t xml:space="preserve">Pt IVA </w:t>
      </w:r>
      <w:r w:rsidRPr="008A27D2">
        <w:rPr>
          <w:i/>
          <w:iCs/>
        </w:rPr>
        <w:t>Federal Court of Australia Act 1976</w:t>
      </w:r>
      <w:r w:rsidRPr="008A27D2">
        <w:t xml:space="preserve"> (Cth)</w:t>
      </w:r>
      <w:r>
        <w:t xml:space="preserve"> ("</w:t>
      </w:r>
      <w:r w:rsidRPr="00BC379A">
        <w:t>FCA Act</w:t>
      </w:r>
      <w:r>
        <w:t xml:space="preserve">") – Presumption against extraterritoriality – Dual listed company structure – Where claims brought on behalf of non-resident shareholders of BHP Group Limited (Australian company) and BHP Group Plc (United Kingdom company) – Where claims brought in Federal Court of Australia under Pt IVA concerning representative proceedings – Whether Pt IVA of </w:t>
      </w:r>
      <w:r w:rsidRPr="00BC379A">
        <w:t>FCA Act applies to claims brought on behalf of non-resident group members – Whether presumption against extraterritorial operation of legislation applies to Pt IVA of FCA Act</w:t>
      </w:r>
      <w:r>
        <w:t xml:space="preserve"> – Whether Part IVA of FCA Act confers on Federal Court jurisdiction or power to determine claims of group members outside territory. </w:t>
      </w:r>
    </w:p>
    <w:p w14:paraId="76985D15" w14:textId="77777777" w:rsidR="005C70EB" w:rsidRPr="00C32A1D" w:rsidRDefault="005C70EB" w:rsidP="005C70EB"/>
    <w:p w14:paraId="4E37E697" w14:textId="77777777" w:rsidR="005C70EB" w:rsidRPr="00307943" w:rsidRDefault="005C70EB" w:rsidP="005C70EB">
      <w:r w:rsidRPr="004E7695">
        <w:rPr>
          <w:b/>
        </w:rPr>
        <w:t xml:space="preserve">Appealed from </w:t>
      </w:r>
      <w:r>
        <w:rPr>
          <w:b/>
        </w:rPr>
        <w:t xml:space="preserve">FCA (FC): </w:t>
      </w:r>
      <w:hyperlink r:id="rId55" w:history="1">
        <w:r w:rsidRPr="00D64ED0">
          <w:rPr>
            <w:rStyle w:val="Hyperlink"/>
            <w:rFonts w:cs="Verdana"/>
            <w:noProof w:val="0"/>
          </w:rPr>
          <w:t>[2021] FCAFC 93</w:t>
        </w:r>
      </w:hyperlink>
      <w:r>
        <w:t xml:space="preserve">; </w:t>
      </w:r>
      <w:r w:rsidRPr="00476537">
        <w:t>(2021) 286 FCR 625</w:t>
      </w:r>
      <w:r>
        <w:t>;</w:t>
      </w:r>
      <w:r w:rsidRPr="00476537">
        <w:t xml:space="preserve"> </w:t>
      </w:r>
      <w:r>
        <w:t>(2021) 151 ACSR 634</w:t>
      </w:r>
    </w:p>
    <w:p w14:paraId="5196015A" w14:textId="77777777" w:rsidR="005C70EB" w:rsidRPr="00E064DF" w:rsidRDefault="005C70EB" w:rsidP="005C70EB"/>
    <w:p w14:paraId="6FABEBB1" w14:textId="3912E558" w:rsidR="006159EF" w:rsidRDefault="000F3638" w:rsidP="006159EF">
      <w:pPr>
        <w:rPr>
          <w:rStyle w:val="Hyperlink"/>
          <w:rFonts w:cs="Verdana"/>
          <w:bCs/>
        </w:rPr>
      </w:pPr>
      <w:hyperlink w:anchor="TOP" w:history="1">
        <w:r w:rsidR="005C70EB" w:rsidRPr="004E7695">
          <w:rPr>
            <w:rStyle w:val="Hyperlink"/>
            <w:rFonts w:cs="Verdana"/>
            <w:bCs/>
          </w:rPr>
          <w:t>Return to Top</w:t>
        </w:r>
      </w:hyperlink>
    </w:p>
    <w:p w14:paraId="45B7D929" w14:textId="77777777" w:rsidR="006159EF" w:rsidRDefault="006159EF" w:rsidP="006159EF">
      <w:pPr>
        <w:pStyle w:val="Divider2"/>
      </w:pPr>
    </w:p>
    <w:p w14:paraId="25B9D719" w14:textId="317DE49B" w:rsidR="006159EF" w:rsidRPr="006159EF" w:rsidRDefault="006159EF" w:rsidP="006159EF">
      <w:pPr>
        <w:sectPr w:rsidR="006159EF" w:rsidRPr="006159EF" w:rsidSect="000F39D5">
          <w:headerReference w:type="default" r:id="rId56"/>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94" w:name="_4:_Original_Jurisdiction"/>
      <w:bookmarkStart w:id="95" w:name="_Toc479608275"/>
      <w:bookmarkStart w:id="96" w:name="_Toc10095964"/>
      <w:bookmarkEnd w:id="94"/>
      <w:r w:rsidRPr="004E7695">
        <w:lastRenderedPageBreak/>
        <w:t>4</w:t>
      </w:r>
      <w:r w:rsidR="00AE64B2" w:rsidRPr="004E7695">
        <w:t>: Original Jurisdiction</w:t>
      </w:r>
      <w:bookmarkEnd w:id="89"/>
      <w:bookmarkEnd w:id="90"/>
      <w:bookmarkEnd w:id="91"/>
      <w:bookmarkEnd w:id="95"/>
      <w:bookmarkEnd w:id="96"/>
    </w:p>
    <w:bookmarkEnd w:id="92"/>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7"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98" w:name="_Constitutional_Law"/>
      <w:bookmarkEnd w:id="97"/>
      <w:bookmarkEnd w:id="98"/>
    </w:p>
    <w:p w14:paraId="205319D6" w14:textId="2183C9F2" w:rsidR="00027B79" w:rsidRDefault="00027B79" w:rsidP="00027B79">
      <w:bookmarkStart w:id="99" w:name="_Vella_&amp;_Ors"/>
      <w:bookmarkStart w:id="100" w:name="_Gerner_&amp;_Anor"/>
      <w:bookmarkStart w:id="101" w:name="_Palmer_&amp;_Anor"/>
      <w:bookmarkStart w:id="102" w:name="_Minogue_v_State_1"/>
      <w:bookmarkStart w:id="103" w:name="_LibertyWorks_Inc_v"/>
      <w:bookmarkStart w:id="104" w:name="_Zhang_v_Commissioner"/>
      <w:bookmarkStart w:id="105" w:name="_Hlk102652266"/>
      <w:bookmarkEnd w:id="99"/>
      <w:bookmarkEnd w:id="100"/>
      <w:bookmarkEnd w:id="101"/>
      <w:bookmarkEnd w:id="102"/>
      <w:bookmarkEnd w:id="103"/>
      <w:bookmarkEnd w:id="104"/>
    </w:p>
    <w:p w14:paraId="2007D70F" w14:textId="77777777" w:rsidR="00C81F29" w:rsidRDefault="00C81F29" w:rsidP="00C81F29">
      <w:pPr>
        <w:pStyle w:val="Heading2"/>
      </w:pPr>
      <w:r>
        <w:t xml:space="preserve">Constitutional law </w:t>
      </w:r>
    </w:p>
    <w:p w14:paraId="31D69157" w14:textId="77777777" w:rsidR="00C81F29" w:rsidRDefault="00C81F29" w:rsidP="00C81F29"/>
    <w:p w14:paraId="2B655E11" w14:textId="2B84342F" w:rsidR="004C22B0" w:rsidRDefault="004C22B0" w:rsidP="004C22B0">
      <w:pPr>
        <w:pStyle w:val="Heading3"/>
        <w:rPr>
          <w:i w:val="0"/>
        </w:rPr>
      </w:pPr>
      <w:bookmarkStart w:id="106" w:name="_Vanderstock_v_State"/>
      <w:bookmarkEnd w:id="106"/>
      <w:proofErr w:type="spellStart"/>
      <w:r>
        <w:t>Vanderstock</w:t>
      </w:r>
      <w:proofErr w:type="spellEnd"/>
      <w:r>
        <w:t xml:space="preserve"> </w:t>
      </w:r>
      <w:r w:rsidR="002E2CD9">
        <w:t xml:space="preserve">&amp; Anor </w:t>
      </w:r>
      <w:r w:rsidR="00AD77A7">
        <w:t xml:space="preserve">v State of Victoria  </w:t>
      </w:r>
    </w:p>
    <w:p w14:paraId="6AD66BA5" w14:textId="007BEB8C" w:rsidR="004C22B0" w:rsidRDefault="000F3638" w:rsidP="004C22B0">
      <w:hyperlink r:id="rId57" w:history="1">
        <w:r w:rsidR="004C22B0" w:rsidRPr="00C81F29">
          <w:rPr>
            <w:rStyle w:val="Hyperlink"/>
            <w:rFonts w:cs="Verdana"/>
            <w:b/>
            <w:noProof w:val="0"/>
          </w:rPr>
          <w:t>M61/2021</w:t>
        </w:r>
      </w:hyperlink>
      <w:r w:rsidR="00C81F29">
        <w:rPr>
          <w:b/>
        </w:rPr>
        <w:t xml:space="preserve"> </w:t>
      </w:r>
    </w:p>
    <w:p w14:paraId="3EEC7EFF" w14:textId="77777777" w:rsidR="004C22B0" w:rsidRDefault="004C22B0" w:rsidP="004C22B0"/>
    <w:p w14:paraId="11D0BF67" w14:textId="77777777" w:rsidR="004C22B0" w:rsidRDefault="004C22B0" w:rsidP="004C22B0">
      <w:r>
        <w:rPr>
          <w:b/>
        </w:rPr>
        <w:t>Catchwords:</w:t>
      </w:r>
    </w:p>
    <w:p w14:paraId="104B7FD4" w14:textId="77777777" w:rsidR="004C22B0" w:rsidRDefault="004C22B0" w:rsidP="004C22B0">
      <w:r>
        <w:tab/>
      </w:r>
    </w:p>
    <w:p w14:paraId="3B739E57" w14:textId="7CDB9DB0" w:rsidR="004C22B0" w:rsidRDefault="004C22B0" w:rsidP="00A679C0">
      <w:pPr>
        <w:ind w:left="720"/>
      </w:pPr>
      <w:r>
        <w:t xml:space="preserve">Constitutional law – </w:t>
      </w:r>
      <w:r w:rsidR="00835C80">
        <w:t>Duties of excise</w:t>
      </w:r>
      <w:r w:rsidR="00190259">
        <w:t xml:space="preserve"> </w:t>
      </w:r>
      <w:r w:rsidR="00AD281B">
        <w:t xml:space="preserve">– </w:t>
      </w:r>
      <w:r w:rsidR="00190259">
        <w:t xml:space="preserve">Section 90 of </w:t>
      </w:r>
      <w:r w:rsidR="00190259">
        <w:rPr>
          <w:i/>
          <w:iCs/>
        </w:rPr>
        <w:t>Constitution</w:t>
      </w:r>
      <w:r w:rsidR="00190259">
        <w:t xml:space="preserve"> </w:t>
      </w:r>
      <w:r w:rsidR="00AD281B">
        <w:t xml:space="preserve">– </w:t>
      </w:r>
      <w:r w:rsidR="00AD281B" w:rsidRPr="00AD281B">
        <w:t>Exclusive power of Commonwealth Parliament</w:t>
      </w:r>
      <w:r w:rsidR="00AD281B">
        <w:t xml:space="preserve"> – </w:t>
      </w:r>
      <w:r w:rsidR="00190259">
        <w:t xml:space="preserve">Where </w:t>
      </w:r>
      <w:r w:rsidR="00190259" w:rsidRPr="00190259">
        <w:rPr>
          <w:i/>
          <w:iCs/>
        </w:rPr>
        <w:t>Zero and Low Emission Vehicle Distance-based Charge Act 2021</w:t>
      </w:r>
      <w:r w:rsidR="00190259">
        <w:t xml:space="preserve"> (Vic) ("ZLEV Act") </w:t>
      </w:r>
      <w:r w:rsidR="00190259" w:rsidRPr="00190259">
        <w:t xml:space="preserve">defines "ZLEV" </w:t>
      </w:r>
      <w:r w:rsidR="00190259">
        <w:t>to mean any of following not excluded vehicles: (a) electric vehicle; (b) hydrogen vehicle; and (c) plug-in hybrid electric vehicle – Where s 7(1) of ZLEV Act require</w:t>
      </w:r>
      <w:r w:rsidR="00866510">
        <w:t>s</w:t>
      </w:r>
      <w:r w:rsidR="00190259">
        <w:t xml:space="preserve"> registered operator of ZLEV to pay charge for use of ZLEV on specified roads</w:t>
      </w:r>
      <w:r w:rsidR="00190259" w:rsidRPr="00190259">
        <w:t xml:space="preserve"> </w:t>
      </w:r>
      <w:r w:rsidR="00A679C0">
        <w:t xml:space="preserve"> </w:t>
      </w:r>
      <w:r w:rsidR="00AD281B">
        <w:t>–</w:t>
      </w:r>
      <w:r w:rsidR="00A679C0">
        <w:t xml:space="preserve">– </w:t>
      </w:r>
      <w:r w:rsidR="00190259">
        <w:t xml:space="preserve">Whether s 7(1) of ZLEV Act </w:t>
      </w:r>
      <w:r w:rsidR="00AD281B">
        <w:t>invalid as imposing duty of</w:t>
      </w:r>
      <w:r w:rsidR="00190259">
        <w:t xml:space="preserve"> excise within meaning of s 90 of </w:t>
      </w:r>
      <w:r w:rsidR="00190259">
        <w:rPr>
          <w:i/>
          <w:iCs/>
        </w:rPr>
        <w:t>Constitution</w:t>
      </w:r>
      <w:r>
        <w:t xml:space="preserve">. </w:t>
      </w:r>
    </w:p>
    <w:p w14:paraId="5D8E3D88" w14:textId="77777777" w:rsidR="004C22B0" w:rsidRDefault="004C22B0" w:rsidP="004C22B0"/>
    <w:p w14:paraId="34DB60A6" w14:textId="149A04A7" w:rsidR="004C22B0" w:rsidRDefault="004C22B0" w:rsidP="004C22B0">
      <w:pPr>
        <w:rPr>
          <w:i/>
        </w:rPr>
      </w:pPr>
      <w:r>
        <w:rPr>
          <w:i/>
        </w:rPr>
        <w:t>Special case referred to the Full Court on 2 June 2022.</w:t>
      </w:r>
    </w:p>
    <w:p w14:paraId="736639DE" w14:textId="77777777" w:rsidR="004C22B0" w:rsidRPr="00E064DF" w:rsidRDefault="004C22B0" w:rsidP="00027B79"/>
    <w:p w14:paraId="2F12E72F" w14:textId="77777777" w:rsidR="00027B79" w:rsidRDefault="000F3638" w:rsidP="00027B79">
      <w:hyperlink w:anchor="TOP" w:history="1">
        <w:r w:rsidR="00027B79" w:rsidRPr="004E7695">
          <w:rPr>
            <w:rStyle w:val="Hyperlink"/>
            <w:rFonts w:cs="Verdana"/>
            <w:bCs/>
          </w:rPr>
          <w:t>Return to Top</w:t>
        </w:r>
      </w:hyperlink>
    </w:p>
    <w:bookmarkEnd w:id="105"/>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58"/>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7" w:name="_5:_Court_of"/>
      <w:bookmarkStart w:id="108" w:name="_5:_Special_Leave_1"/>
      <w:bookmarkStart w:id="109" w:name="_6:_Special_Leave"/>
      <w:bookmarkStart w:id="110" w:name="_6:_Section_40"/>
      <w:bookmarkStart w:id="111" w:name="_5:_Section_34"/>
      <w:bookmarkStart w:id="112" w:name="_5:_Section_40"/>
      <w:bookmarkStart w:id="113" w:name="_Toc10095965"/>
      <w:bookmarkStart w:id="114" w:name="_Toc270610024"/>
      <w:bookmarkStart w:id="115" w:name="_Ref474759848"/>
      <w:bookmarkStart w:id="116" w:name="_Toc479608276"/>
      <w:bookmarkStart w:id="117" w:name="Special_Leave_Granted"/>
      <w:bookmarkEnd w:id="107"/>
      <w:bookmarkEnd w:id="108"/>
      <w:bookmarkEnd w:id="109"/>
      <w:bookmarkEnd w:id="110"/>
      <w:bookmarkEnd w:id="111"/>
      <w:bookmarkEnd w:id="112"/>
      <w:r w:rsidRPr="004E7695">
        <w:lastRenderedPageBreak/>
        <w:t>5</w:t>
      </w:r>
      <w:r w:rsidR="00C20C68" w:rsidRPr="004E7695">
        <w:t xml:space="preserve">: Section </w:t>
      </w:r>
      <w:r w:rsidR="00750EEC">
        <w:t>40 Removal</w:t>
      </w:r>
      <w:bookmarkEnd w:id="113"/>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18" w:name="_Attorney-General_of_the"/>
      <w:bookmarkEnd w:id="118"/>
    </w:p>
    <w:p w14:paraId="1C36083B" w14:textId="77777777" w:rsidR="0066674D" w:rsidRPr="004E7695" w:rsidRDefault="000F3638"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19" w:name="_Minister_for_Home_3"/>
      <w:bookmarkEnd w:id="119"/>
    </w:p>
    <w:p w14:paraId="7A2F4A03" w14:textId="77777777" w:rsidR="00C20C68" w:rsidRPr="004E7695" w:rsidRDefault="00C20C68" w:rsidP="002A66BC">
      <w:pPr>
        <w:pStyle w:val="Heading1"/>
        <w:sectPr w:rsidR="00C20C68" w:rsidRPr="004E7695" w:rsidSect="000F39D5">
          <w:headerReference w:type="default" r:id="rId59"/>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20" w:name="_7:_Special_Leave"/>
      <w:bookmarkStart w:id="121" w:name="_Toc10095966"/>
      <w:bookmarkEnd w:id="120"/>
      <w:r w:rsidRPr="004E7695">
        <w:lastRenderedPageBreak/>
        <w:t>6</w:t>
      </w:r>
      <w:r w:rsidR="00AE64B2" w:rsidRPr="004E7695">
        <w:t>: Special Leave Granted</w:t>
      </w:r>
      <w:bookmarkEnd w:id="114"/>
      <w:bookmarkEnd w:id="115"/>
      <w:bookmarkEnd w:id="116"/>
      <w:bookmarkEnd w:id="121"/>
    </w:p>
    <w:bookmarkEnd w:id="117"/>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22" w:name="_Toc209266116"/>
      <w:r w:rsidRPr="004E7695">
        <w:rPr>
          <w:rFonts w:cs="Arial"/>
        </w:rPr>
        <w:t>The following cases have been granted special leave to appeal to the High Court of Australia</w:t>
      </w:r>
      <w:bookmarkEnd w:id="122"/>
      <w:r w:rsidR="00184E2D" w:rsidRPr="004E7695">
        <w:rPr>
          <w:rFonts w:cs="Arial"/>
        </w:rPr>
        <w:t>.</w:t>
      </w:r>
    </w:p>
    <w:p w14:paraId="6C26C69E" w14:textId="77777777" w:rsidR="00F33F86" w:rsidRPr="004E7695" w:rsidRDefault="00F33F86" w:rsidP="00F33F86">
      <w:pPr>
        <w:pStyle w:val="Divider2"/>
        <w:pBdr>
          <w:bottom w:val="double" w:sz="6" w:space="0" w:color="auto"/>
        </w:pBdr>
      </w:pPr>
      <w:bookmarkStart w:id="123" w:name="Equity4"/>
      <w:bookmarkStart w:id="124" w:name="CorpsLaw4"/>
    </w:p>
    <w:p w14:paraId="0BF896AF" w14:textId="77777777" w:rsidR="00DE668C" w:rsidRDefault="00DE668C" w:rsidP="00DE668C"/>
    <w:p w14:paraId="3619A82E" w14:textId="7D4AF6C6" w:rsidR="0061143F" w:rsidRDefault="0061143F" w:rsidP="00E95DC9">
      <w:pPr>
        <w:pStyle w:val="Heading2"/>
      </w:pPr>
      <w:r>
        <w:t xml:space="preserve">Administrative Law </w:t>
      </w:r>
    </w:p>
    <w:p w14:paraId="3FE9F800" w14:textId="2FD29716" w:rsidR="0061143F" w:rsidRDefault="0061143F" w:rsidP="0061143F"/>
    <w:p w14:paraId="6D545459" w14:textId="200367D5" w:rsidR="0061143F" w:rsidRPr="0061143F" w:rsidRDefault="0061143F" w:rsidP="0049208E">
      <w:pPr>
        <w:pStyle w:val="Heading3"/>
      </w:pPr>
      <w:bookmarkStart w:id="125" w:name="_Stanley_v_Director"/>
      <w:bookmarkEnd w:id="125"/>
      <w:r w:rsidRPr="0061143F">
        <w:t xml:space="preserve">Stanley v Director of Public Prosecutions (NSW) </w:t>
      </w:r>
      <w:r w:rsidR="006C59DE">
        <w:t xml:space="preserve">(Sydney) &amp; Anor </w:t>
      </w:r>
    </w:p>
    <w:p w14:paraId="5734CACC" w14:textId="6CA46B5D" w:rsidR="0061143F" w:rsidRPr="0061143F" w:rsidRDefault="0061143F" w:rsidP="0061143F">
      <w:r w:rsidRPr="0061143F">
        <w:rPr>
          <w:b/>
          <w:bCs/>
        </w:rPr>
        <w:t xml:space="preserve">S9/2022: </w:t>
      </w:r>
      <w:hyperlink r:id="rId60" w:history="1">
        <w:r w:rsidR="006C59DE" w:rsidRPr="006C59DE">
          <w:rPr>
            <w:rStyle w:val="Hyperlink"/>
            <w:rFonts w:cs="Verdana"/>
            <w:noProof w:val="0"/>
          </w:rPr>
          <w:t xml:space="preserve">[2022] </w:t>
        </w:r>
        <w:proofErr w:type="spellStart"/>
        <w:r w:rsidR="006C59DE" w:rsidRPr="006C59DE">
          <w:rPr>
            <w:rStyle w:val="Hyperlink"/>
            <w:rFonts w:cs="Verdana"/>
            <w:noProof w:val="0"/>
          </w:rPr>
          <w:t>HCATrans</w:t>
        </w:r>
        <w:proofErr w:type="spellEnd"/>
        <w:r w:rsidR="006C59DE" w:rsidRPr="006C59DE">
          <w:rPr>
            <w:rStyle w:val="Hyperlink"/>
            <w:rFonts w:cs="Verdana"/>
            <w:noProof w:val="0"/>
          </w:rPr>
          <w:t xml:space="preserve"> 139</w:t>
        </w:r>
      </w:hyperlink>
      <w:r w:rsidRPr="0061143F">
        <w:t xml:space="preserve"> </w:t>
      </w:r>
    </w:p>
    <w:p w14:paraId="1F54E6AD" w14:textId="77777777" w:rsidR="0061143F" w:rsidRPr="0061143F" w:rsidRDefault="0061143F" w:rsidP="0061143F"/>
    <w:p w14:paraId="17224A46" w14:textId="77777777" w:rsidR="0061143F" w:rsidRPr="0061143F" w:rsidRDefault="0061143F" w:rsidP="0061143F">
      <w:pPr>
        <w:rPr>
          <w:i/>
          <w:iCs/>
        </w:rPr>
      </w:pPr>
      <w:r w:rsidRPr="0061143F">
        <w:rPr>
          <w:b/>
          <w:bCs/>
        </w:rPr>
        <w:t>Date heard:</w:t>
      </w:r>
      <w:r w:rsidRPr="0061143F">
        <w:t xml:space="preserve"> 19 August 2022 – </w:t>
      </w:r>
      <w:r w:rsidRPr="0061143F">
        <w:rPr>
          <w:i/>
          <w:iCs/>
        </w:rPr>
        <w:t xml:space="preserve">Special leave granted </w:t>
      </w:r>
    </w:p>
    <w:p w14:paraId="19882797" w14:textId="77777777" w:rsidR="0061143F" w:rsidRPr="0061143F" w:rsidRDefault="0061143F" w:rsidP="0061143F"/>
    <w:p w14:paraId="17637C43" w14:textId="77777777" w:rsidR="0061143F" w:rsidRPr="0061143F" w:rsidRDefault="0061143F" w:rsidP="0061143F">
      <w:r w:rsidRPr="0061143F">
        <w:rPr>
          <w:b/>
          <w:bCs/>
        </w:rPr>
        <w:t>Catchwords:</w:t>
      </w:r>
    </w:p>
    <w:p w14:paraId="5EA2D6DA" w14:textId="77777777" w:rsidR="0061143F" w:rsidRPr="0061143F" w:rsidRDefault="0061143F" w:rsidP="0061143F"/>
    <w:p w14:paraId="08B94217" w14:textId="56D6CC8D" w:rsidR="0061143F" w:rsidRDefault="0061143F" w:rsidP="0061143F">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Administrative law </w:t>
      </w:r>
      <w:r w:rsidRPr="0061143F">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Judicial review –</w:t>
      </w:r>
      <w:r w:rsidRPr="0061143F">
        <w:rPr>
          <w:rFonts w:eastAsia="Arial Unicode MS" w:cs="Arial Unicode MS"/>
          <w:color w:val="000000"/>
          <w:u w:color="000000"/>
          <w:bdr w:val="nil"/>
          <w:lang w:val="en-US" w:eastAsia="en-GB"/>
        </w:rPr>
        <w:t xml:space="preserve"> Jurisdictional error – Where District Court's exercise of sentencing discretion governed by </w:t>
      </w:r>
      <w:r w:rsidRPr="0061143F">
        <w:rPr>
          <w:rFonts w:eastAsia="Arial Unicode MS" w:cs="Arial Unicode MS"/>
          <w:i/>
          <w:iCs/>
          <w:color w:val="000000"/>
          <w:u w:color="000000"/>
          <w:bdr w:val="nil"/>
          <w:lang w:val="en-US" w:eastAsia="en-GB"/>
        </w:rPr>
        <w:t>Crimes (Sentencing Procedure) Act 1999</w:t>
      </w:r>
      <w:r w:rsidRPr="0061143F">
        <w:rPr>
          <w:rFonts w:eastAsia="Arial Unicode MS" w:cs="Arial Unicode MS"/>
          <w:color w:val="000000"/>
          <w:u w:color="000000"/>
          <w:bdr w:val="nil"/>
          <w:lang w:val="en-US" w:eastAsia="en-GB"/>
        </w:rPr>
        <w:t xml:space="preserve"> (NSW) ("</w:t>
      </w:r>
      <w:r w:rsidRPr="0061143F">
        <w:rPr>
          <w:rFonts w:eastAsia="Arial Unicode MS" w:cs="Arial Unicode MS"/>
          <w:i/>
          <w:iCs/>
          <w:color w:val="000000"/>
          <w:u w:color="000000"/>
          <w:bdr w:val="nil"/>
          <w:lang w:val="en-US" w:eastAsia="en-GB"/>
        </w:rPr>
        <w:t>CSP</w:t>
      </w:r>
      <w:r w:rsidRPr="0061143F">
        <w:rPr>
          <w:rFonts w:eastAsia="Arial Unicode MS" w:cs="Arial Unicode MS"/>
          <w:color w:val="000000"/>
          <w:u w:color="000000"/>
          <w:bdr w:val="nil"/>
          <w:lang w:val="en-US" w:eastAsia="en-GB"/>
        </w:rPr>
        <w:t>") – Where</w:t>
      </w:r>
      <w:r w:rsidR="00DE7089">
        <w:rPr>
          <w:rFonts w:eastAsia="Arial Unicode MS" w:cs="Arial Unicode MS"/>
          <w:color w:val="000000"/>
          <w:u w:color="000000"/>
          <w:bdr w:val="nil"/>
          <w:lang w:val="en-US" w:eastAsia="en-GB"/>
        </w:rPr>
        <w:t xml:space="preserve"> s 7 of </w:t>
      </w:r>
      <w:r w:rsidR="00DE7089" w:rsidRPr="00DE7089">
        <w:rPr>
          <w:rFonts w:eastAsia="Arial Unicode MS" w:cs="Arial Unicode MS"/>
          <w:i/>
          <w:iCs/>
          <w:color w:val="000000"/>
          <w:u w:color="000000"/>
          <w:bdr w:val="nil"/>
          <w:lang w:val="en-US" w:eastAsia="en-GB"/>
        </w:rPr>
        <w:t>CSP</w:t>
      </w:r>
      <w:r w:rsidR="00DE7089">
        <w:rPr>
          <w:rFonts w:eastAsia="Arial Unicode MS" w:cs="Arial Unicode MS"/>
          <w:color w:val="000000"/>
          <w:u w:color="000000"/>
          <w:bdr w:val="nil"/>
          <w:lang w:val="en-US" w:eastAsia="en-GB"/>
        </w:rPr>
        <w:t xml:space="preserve"> provides</w:t>
      </w:r>
      <w:r w:rsidRPr="0061143F">
        <w:rPr>
          <w:rFonts w:eastAsia="Arial Unicode MS" w:cs="Arial Unicode MS"/>
          <w:color w:val="000000"/>
          <w:u w:color="000000"/>
          <w:bdr w:val="nil"/>
          <w:lang w:val="en-US" w:eastAsia="en-GB"/>
        </w:rPr>
        <w:t xml:space="preserve"> court that sentenced offender to imprisonment may make intensive correction order ("ICO") – Where, when considering making ICO, Part 5 of </w:t>
      </w:r>
      <w:r w:rsidRPr="0061143F">
        <w:rPr>
          <w:rFonts w:eastAsia="Arial Unicode MS" w:cs="Arial Unicode MS"/>
          <w:i/>
          <w:iCs/>
          <w:color w:val="000000"/>
          <w:u w:color="000000"/>
          <w:bdr w:val="nil"/>
          <w:lang w:val="en-US" w:eastAsia="en-GB"/>
        </w:rPr>
        <w:t xml:space="preserve">CSP </w:t>
      </w:r>
      <w:r w:rsidRPr="0061143F">
        <w:rPr>
          <w:rFonts w:eastAsia="Arial Unicode MS" w:cs="Arial Unicode MS"/>
          <w:color w:val="000000"/>
          <w:u w:color="000000"/>
          <w:bdr w:val="nil"/>
          <w:lang w:val="en-US" w:eastAsia="en-GB"/>
        </w:rPr>
        <w:t>applie</w:t>
      </w:r>
      <w:r w:rsidR="005C4230">
        <w:rPr>
          <w:rFonts w:eastAsia="Arial Unicode MS" w:cs="Arial Unicode MS"/>
          <w:color w:val="000000"/>
          <w:u w:color="000000"/>
          <w:bdr w:val="nil"/>
          <w:lang w:val="en-US" w:eastAsia="en-GB"/>
        </w:rPr>
        <w:t>s, including s 66 which</w:t>
      </w:r>
      <w:r w:rsidRPr="0061143F">
        <w:rPr>
          <w:rFonts w:eastAsia="Arial Unicode MS" w:cs="Arial Unicode MS"/>
          <w:color w:val="000000"/>
          <w:u w:color="000000"/>
          <w:bdr w:val="nil"/>
          <w:lang w:val="en-US" w:eastAsia="en-GB"/>
        </w:rPr>
        <w:t xml:space="preserve"> provides "[c]</w:t>
      </w:r>
      <w:proofErr w:type="spellStart"/>
      <w:r w:rsidRPr="0061143F">
        <w:rPr>
          <w:rFonts w:eastAsia="Arial Unicode MS" w:cs="Arial Unicode MS"/>
          <w:color w:val="000000"/>
          <w:u w:color="000000"/>
          <w:bdr w:val="nil"/>
          <w:lang w:val="en-US" w:eastAsia="en-GB"/>
        </w:rPr>
        <w:t>ommunity</w:t>
      </w:r>
      <w:proofErr w:type="spellEnd"/>
      <w:r w:rsidRPr="0061143F">
        <w:rPr>
          <w:rFonts w:eastAsia="Arial Unicode MS" w:cs="Arial Unicode MS"/>
          <w:color w:val="000000"/>
          <w:u w:color="000000"/>
          <w:bdr w:val="nil"/>
          <w:lang w:val="en-US" w:eastAsia="en-GB"/>
        </w:rPr>
        <w:t xml:space="preserve"> safety must be paramount consideration" when sentencing court is deciding whether to make ICO </w:t>
      </w:r>
      <w:r w:rsidR="005C4230">
        <w:rPr>
          <w:rFonts w:eastAsia="Arial Unicode MS" w:cs="Arial Unicode MS"/>
          <w:color w:val="000000"/>
          <w:u w:color="000000"/>
          <w:bdr w:val="nil"/>
          <w:lang w:val="en-US" w:eastAsia="en-GB"/>
        </w:rPr>
        <w:t>– Where</w:t>
      </w:r>
      <w:r w:rsidRPr="0061143F">
        <w:rPr>
          <w:rFonts w:eastAsia="Arial Unicode MS" w:cs="Arial Unicode MS"/>
          <w:color w:val="000000"/>
          <w:u w:color="000000"/>
          <w:bdr w:val="nil"/>
          <w:lang w:val="en-US" w:eastAsia="en-GB"/>
        </w:rPr>
        <w:t xml:space="preserve"> s 66(2) requires sentencing court to assess whether making order or serving sentence more likely to address offender's risk of reoffending </w:t>
      </w:r>
      <w:r>
        <w:rPr>
          <w:rFonts w:eastAsia="Arial Unicode MS" w:cs="Arial Unicode MS"/>
          <w:color w:val="000000"/>
          <w:u w:color="000000"/>
          <w:bdr w:val="nil"/>
          <w:lang w:val="en-US" w:eastAsia="en-GB"/>
        </w:rPr>
        <w:t xml:space="preserve">– </w:t>
      </w:r>
      <w:r w:rsidRPr="0061143F">
        <w:rPr>
          <w:rFonts w:eastAsia="Arial Unicode MS" w:cs="Arial Unicode MS"/>
          <w:color w:val="000000"/>
          <w:u w:color="000000"/>
          <w:bdr w:val="nil"/>
          <w:lang w:val="en-US" w:eastAsia="en-GB"/>
        </w:rPr>
        <w:t xml:space="preserve">Whether failure to comply with s 66(2) of </w:t>
      </w:r>
      <w:r w:rsidRPr="0061143F">
        <w:rPr>
          <w:rFonts w:eastAsia="Arial Unicode MS" w:cs="Arial Unicode MS"/>
          <w:i/>
          <w:iCs/>
          <w:color w:val="000000"/>
          <w:u w:color="000000"/>
          <w:bdr w:val="nil"/>
          <w:lang w:val="en-US" w:eastAsia="en-GB"/>
        </w:rPr>
        <w:t>CSP</w:t>
      </w:r>
      <w:r w:rsidRPr="0061143F">
        <w:rPr>
          <w:rFonts w:eastAsia="Arial Unicode MS" w:cs="Arial Unicode MS"/>
          <w:color w:val="000000"/>
          <w:u w:color="000000"/>
          <w:bdr w:val="nil"/>
          <w:lang w:val="en-US" w:eastAsia="en-GB"/>
        </w:rPr>
        <w:t xml:space="preserve"> constitutes jurisdictional error – Whether statutory requirement that matter be considered is jurisdictional/mandatory if power being exercised is part of sentencing process undertaken by court – Whether statutory requirement that matter be considered is not jurisdictional if failure to comply cannot be </w:t>
      </w:r>
      <w:proofErr w:type="spellStart"/>
      <w:r w:rsidRPr="0061143F">
        <w:rPr>
          <w:rFonts w:eastAsia="Arial Unicode MS" w:cs="Arial Unicode MS"/>
          <w:color w:val="000000"/>
          <w:u w:color="000000"/>
          <w:bdr w:val="nil"/>
          <w:lang w:val="en-US" w:eastAsia="en-GB"/>
        </w:rPr>
        <w:t>characteri</w:t>
      </w:r>
      <w:r w:rsidR="005C4230">
        <w:rPr>
          <w:rFonts w:eastAsia="Arial Unicode MS" w:cs="Arial Unicode MS"/>
          <w:color w:val="000000"/>
          <w:u w:color="000000"/>
          <w:bdr w:val="nil"/>
          <w:lang w:val="en-US" w:eastAsia="en-GB"/>
        </w:rPr>
        <w:t>s</w:t>
      </w:r>
      <w:r w:rsidRPr="0061143F">
        <w:rPr>
          <w:rFonts w:eastAsia="Arial Unicode MS" w:cs="Arial Unicode MS"/>
          <w:color w:val="000000"/>
          <w:u w:color="000000"/>
          <w:bdr w:val="nil"/>
          <w:lang w:val="en-US" w:eastAsia="en-GB"/>
        </w:rPr>
        <w:t>ed</w:t>
      </w:r>
      <w:proofErr w:type="spellEnd"/>
      <w:r w:rsidRPr="0061143F">
        <w:rPr>
          <w:rFonts w:eastAsia="Arial Unicode MS" w:cs="Arial Unicode MS"/>
          <w:color w:val="000000"/>
          <w:u w:color="000000"/>
          <w:bdr w:val="nil"/>
          <w:lang w:val="en-US" w:eastAsia="en-GB"/>
        </w:rPr>
        <w:t xml:space="preserve"> as fundamentally misconceiving sentencing function – Whether "complex" consequences of finding criminal sentence invalid weigh significantly against finding statutory requirement intended to be jurisdictional/mandatory.</w:t>
      </w:r>
    </w:p>
    <w:p w14:paraId="1E608BAF" w14:textId="77777777" w:rsidR="0061143F" w:rsidRPr="0061143F" w:rsidRDefault="0061143F" w:rsidP="0061143F"/>
    <w:p w14:paraId="78DB80F4" w14:textId="045182B6" w:rsidR="0061143F" w:rsidRPr="0061143F" w:rsidRDefault="0061143F" w:rsidP="0061143F">
      <w:pPr>
        <w:rPr>
          <w:bCs/>
        </w:rPr>
      </w:pPr>
      <w:r w:rsidRPr="0061143F">
        <w:rPr>
          <w:b/>
        </w:rPr>
        <w:t xml:space="preserve">Appealed from NSW (CA): </w:t>
      </w:r>
      <w:hyperlink r:id="rId61" w:history="1">
        <w:r w:rsidRPr="0061143F">
          <w:rPr>
            <w:bCs/>
            <w:color w:val="0000FF"/>
            <w:u w:val="single"/>
          </w:rPr>
          <w:t>[2021] NSWCA 337</w:t>
        </w:r>
      </w:hyperlink>
      <w:r w:rsidRPr="0061143F">
        <w:rPr>
          <w:bCs/>
        </w:rPr>
        <w:t>;</w:t>
      </w:r>
      <w:r w:rsidR="00A93CE1">
        <w:rPr>
          <w:bCs/>
        </w:rPr>
        <w:t xml:space="preserve"> </w:t>
      </w:r>
      <w:r w:rsidR="00A93CE1" w:rsidRPr="00A93CE1">
        <w:rPr>
          <w:bCs/>
        </w:rPr>
        <w:t>(2021) 107 NSWLR 1</w:t>
      </w:r>
      <w:r w:rsidR="00A93CE1">
        <w:rPr>
          <w:bCs/>
        </w:rPr>
        <w:t xml:space="preserve">; (2021) 398 ALR 355 </w:t>
      </w:r>
    </w:p>
    <w:p w14:paraId="17EEFC51" w14:textId="77777777" w:rsidR="0061143F" w:rsidRPr="0061143F" w:rsidRDefault="0061143F" w:rsidP="0061143F"/>
    <w:p w14:paraId="465263A7" w14:textId="77777777" w:rsidR="0061143F" w:rsidRPr="0061143F" w:rsidRDefault="000F3638" w:rsidP="0061143F">
      <w:hyperlink w:anchor="TOP" w:history="1">
        <w:r w:rsidR="0061143F" w:rsidRPr="0061143F">
          <w:rPr>
            <w:rFonts w:cs="Arial"/>
            <w:bCs/>
            <w:noProof/>
            <w:color w:val="0000FF"/>
            <w:u w:val="single"/>
          </w:rPr>
          <w:t>Return to Top</w:t>
        </w:r>
      </w:hyperlink>
    </w:p>
    <w:p w14:paraId="3A2F32EF" w14:textId="77777777" w:rsidR="0061143F" w:rsidRPr="004E7695" w:rsidRDefault="0061143F" w:rsidP="0061143F">
      <w:pPr>
        <w:pStyle w:val="Divider2"/>
        <w:pBdr>
          <w:bottom w:val="double" w:sz="6" w:space="0" w:color="auto"/>
        </w:pBdr>
      </w:pPr>
    </w:p>
    <w:p w14:paraId="48E261E6" w14:textId="77777777" w:rsidR="0061143F" w:rsidRPr="0061143F" w:rsidRDefault="0061143F" w:rsidP="0061143F"/>
    <w:p w14:paraId="3D30933C" w14:textId="6332FCD0" w:rsidR="00E95DC9" w:rsidRDefault="00E95DC9" w:rsidP="00E95DC9">
      <w:pPr>
        <w:pStyle w:val="Heading2"/>
      </w:pPr>
      <w:r>
        <w:t xml:space="preserve">Constitutional Law </w:t>
      </w:r>
    </w:p>
    <w:p w14:paraId="20C7CD6F" w14:textId="7504356E" w:rsidR="00DE668C" w:rsidRDefault="00DE668C" w:rsidP="00DE668C"/>
    <w:p w14:paraId="1E40F875" w14:textId="10D543B7" w:rsidR="001704F3" w:rsidRPr="00CC454A" w:rsidRDefault="001704F3" w:rsidP="001704F3">
      <w:pPr>
        <w:pStyle w:val="Heading3"/>
        <w:rPr>
          <w:i w:val="0"/>
          <w:iCs/>
        </w:rPr>
      </w:pPr>
      <w:bookmarkStart w:id="126" w:name="_Attorney-General_(Cth)_v"/>
      <w:bookmarkEnd w:id="126"/>
      <w:r w:rsidRPr="001704F3">
        <w:t>Attorney-General (Cth) v Huynh &amp; Ors</w:t>
      </w:r>
    </w:p>
    <w:p w14:paraId="3D886DD5" w14:textId="4FA59F15" w:rsidR="001704F3" w:rsidRPr="001704F3" w:rsidRDefault="000F3638" w:rsidP="001704F3">
      <w:hyperlink r:id="rId62" w:history="1">
        <w:r w:rsidR="001704F3" w:rsidRPr="00744391">
          <w:rPr>
            <w:rStyle w:val="Hyperlink"/>
            <w:rFonts w:cs="Verdana"/>
            <w:b/>
            <w:bCs/>
            <w:noProof w:val="0"/>
          </w:rPr>
          <w:t>S</w:t>
        </w:r>
        <w:r w:rsidR="00744391" w:rsidRPr="00744391">
          <w:rPr>
            <w:rStyle w:val="Hyperlink"/>
            <w:rFonts w:cs="Verdana"/>
            <w:b/>
            <w:bCs/>
            <w:noProof w:val="0"/>
          </w:rPr>
          <w:t>78</w:t>
        </w:r>
        <w:r w:rsidR="001704F3" w:rsidRPr="00744391">
          <w:rPr>
            <w:rStyle w:val="Hyperlink"/>
            <w:rFonts w:cs="Verdana"/>
            <w:b/>
            <w:bCs/>
            <w:noProof w:val="0"/>
          </w:rPr>
          <w:t>/2022</w:t>
        </w:r>
      </w:hyperlink>
      <w:r w:rsidR="001704F3">
        <w:rPr>
          <w:b/>
          <w:bCs/>
        </w:rPr>
        <w:t xml:space="preserve">: </w:t>
      </w:r>
      <w:hyperlink r:id="rId63" w:history="1">
        <w:r w:rsidR="001704F3" w:rsidRPr="001704F3">
          <w:rPr>
            <w:rStyle w:val="Hyperlink"/>
            <w:rFonts w:cs="Verdana"/>
            <w:noProof w:val="0"/>
          </w:rPr>
          <w:t xml:space="preserve">[2022] </w:t>
        </w:r>
        <w:proofErr w:type="spellStart"/>
        <w:r w:rsidR="001704F3" w:rsidRPr="001704F3">
          <w:rPr>
            <w:rStyle w:val="Hyperlink"/>
            <w:rFonts w:cs="Verdana"/>
            <w:noProof w:val="0"/>
          </w:rPr>
          <w:t>HCATrans</w:t>
        </w:r>
        <w:proofErr w:type="spellEnd"/>
        <w:r w:rsidR="001704F3" w:rsidRPr="001704F3">
          <w:rPr>
            <w:rStyle w:val="Hyperlink"/>
            <w:rFonts w:cs="Verdana"/>
            <w:noProof w:val="0"/>
          </w:rPr>
          <w:t xml:space="preserve"> 91</w:t>
        </w:r>
      </w:hyperlink>
    </w:p>
    <w:p w14:paraId="35EA493D" w14:textId="77777777" w:rsidR="001704F3" w:rsidRDefault="001704F3" w:rsidP="001704F3"/>
    <w:p w14:paraId="78088039" w14:textId="77777777" w:rsidR="001704F3" w:rsidRPr="00523623" w:rsidRDefault="001704F3" w:rsidP="001704F3">
      <w:r w:rsidRPr="004E7695">
        <w:rPr>
          <w:b/>
        </w:rPr>
        <w:t>Date</w:t>
      </w:r>
      <w:r>
        <w:rPr>
          <w:b/>
        </w:rPr>
        <w:t xml:space="preserve"> determined</w:t>
      </w:r>
      <w:r w:rsidRPr="004E7695">
        <w:rPr>
          <w:b/>
        </w:rPr>
        <w:t xml:space="preserve">: </w:t>
      </w:r>
      <w:r>
        <w:t xml:space="preserve">12 May 2022 – </w:t>
      </w:r>
      <w:r>
        <w:rPr>
          <w:i/>
        </w:rPr>
        <w:t>Special leave granted</w:t>
      </w:r>
    </w:p>
    <w:p w14:paraId="792C0D74" w14:textId="77777777" w:rsidR="001704F3" w:rsidRPr="004E7695" w:rsidRDefault="001704F3" w:rsidP="001704F3"/>
    <w:p w14:paraId="2A0D19FF" w14:textId="77777777" w:rsidR="001704F3" w:rsidRPr="004E7695" w:rsidRDefault="001704F3" w:rsidP="001704F3">
      <w:pPr>
        <w:rPr>
          <w:b/>
        </w:rPr>
      </w:pPr>
      <w:r w:rsidRPr="004E7695">
        <w:rPr>
          <w:b/>
        </w:rPr>
        <w:lastRenderedPageBreak/>
        <w:t>Catchwords:</w:t>
      </w:r>
    </w:p>
    <w:p w14:paraId="53AB130B" w14:textId="77777777" w:rsidR="001704F3" w:rsidRDefault="001704F3" w:rsidP="001704F3"/>
    <w:p w14:paraId="65066ACE" w14:textId="0FAA18A2" w:rsidR="001704F3" w:rsidRDefault="001704F3" w:rsidP="001704F3">
      <w:pPr>
        <w:ind w:left="720"/>
      </w:pPr>
      <w:r>
        <w:t xml:space="preserve">Constitutional law </w:t>
      </w:r>
      <w:r w:rsidR="000953F1">
        <w:t xml:space="preserve">– Judicial power </w:t>
      </w:r>
      <w:r>
        <w:t>–</w:t>
      </w:r>
      <w:r w:rsidR="000F0296">
        <w:t xml:space="preserve"> </w:t>
      </w:r>
      <w:r w:rsidR="00CD0CB7">
        <w:t xml:space="preserve">Post-appeal application for inquiry into conviction – </w:t>
      </w:r>
      <w:r w:rsidR="000953F1">
        <w:t>State c</w:t>
      </w:r>
      <w:r w:rsidR="00C367AE">
        <w:t>ourts</w:t>
      </w:r>
      <w:r w:rsidR="00CD0CB7">
        <w:t xml:space="preserve"> </w:t>
      </w:r>
      <w:r w:rsidR="00C367AE">
        <w:t xml:space="preserve">– </w:t>
      </w:r>
      <w:r w:rsidR="000F0296">
        <w:t>Supervisory jurisdiction –</w:t>
      </w:r>
      <w:r>
        <w:t xml:space="preserve"> </w:t>
      </w:r>
      <w:r w:rsidR="00182CEB">
        <w:t>Where s</w:t>
      </w:r>
      <w:r>
        <w:t xml:space="preserve"> </w:t>
      </w:r>
      <w:r w:rsidR="009B73B0">
        <w:t>68</w:t>
      </w:r>
      <w:r w:rsidR="00C367AE">
        <w:t>(1)</w:t>
      </w:r>
      <w:r>
        <w:t xml:space="preserve"> of </w:t>
      </w:r>
      <w:r>
        <w:rPr>
          <w:i/>
          <w:iCs/>
        </w:rPr>
        <w:t xml:space="preserve">Judiciary Act 1903 </w:t>
      </w:r>
      <w:r>
        <w:t xml:space="preserve">(Cth) </w:t>
      </w:r>
      <w:r w:rsidR="00C367AE" w:rsidRPr="00C367AE">
        <w:t>provide</w:t>
      </w:r>
      <w:r w:rsidR="00C367AE">
        <w:t>d</w:t>
      </w:r>
      <w:r w:rsidR="00C367AE" w:rsidRPr="00C367AE">
        <w:t xml:space="preserve"> State laws with respect to procedures apply to persons charged with </w:t>
      </w:r>
      <w:r w:rsidR="00C367AE">
        <w:t xml:space="preserve">Commonwealth </w:t>
      </w:r>
      <w:r w:rsidR="00C367AE" w:rsidRPr="00C367AE">
        <w:t xml:space="preserve">offences </w:t>
      </w:r>
      <w:r w:rsidR="00C367AE">
        <w:t>where</w:t>
      </w:r>
      <w:r w:rsidR="00C367AE" w:rsidRPr="00C367AE">
        <w:t xml:space="preserve"> jurisdiction conferred on courts of that State</w:t>
      </w:r>
      <w:r w:rsidR="00C367AE">
        <w:t xml:space="preserve"> – Where s 68(2) </w:t>
      </w:r>
      <w:r w:rsidR="00C367AE" w:rsidRPr="00C367AE">
        <w:t>confer</w:t>
      </w:r>
      <w:r w:rsidR="00C367AE">
        <w:t>red</w:t>
      </w:r>
      <w:r w:rsidR="00C367AE" w:rsidRPr="00C367AE">
        <w:t xml:space="preserve"> jurisdiction on State court</w:t>
      </w:r>
      <w:r w:rsidR="00C367AE">
        <w:t>s</w:t>
      </w:r>
      <w:r w:rsidR="00C367AE" w:rsidRPr="00C367AE">
        <w:t xml:space="preserve"> with respect to criminal proceedings</w:t>
      </w:r>
      <w:r w:rsidR="00C367AE">
        <w:t xml:space="preserve"> </w:t>
      </w:r>
      <w:r w:rsidR="009B73B0">
        <w:t>–</w:t>
      </w:r>
      <w:r>
        <w:t xml:space="preserve"> </w:t>
      </w:r>
      <w:r w:rsidR="00E50030">
        <w:t xml:space="preserve">Where, following conviction for offences against laws of Commonwealth and unsuccessful appeal, Mr Huynh applied to NSW Supreme Court under </w:t>
      </w:r>
      <w:r w:rsidR="00E50030" w:rsidRPr="00E50030">
        <w:t xml:space="preserve">Pt 7, </w:t>
      </w:r>
      <w:proofErr w:type="spellStart"/>
      <w:r w:rsidR="00E50030" w:rsidRPr="00E50030">
        <w:t>Div</w:t>
      </w:r>
      <w:proofErr w:type="spellEnd"/>
      <w:r w:rsidR="00E50030" w:rsidRPr="00E50030">
        <w:t xml:space="preserve"> 3 of </w:t>
      </w:r>
      <w:r w:rsidR="00E50030" w:rsidRPr="00E50030">
        <w:rPr>
          <w:i/>
          <w:iCs/>
        </w:rPr>
        <w:t>Crimes (Appeal and Review) Act 2001</w:t>
      </w:r>
      <w:r w:rsidR="00E50030" w:rsidRPr="00E50030">
        <w:t xml:space="preserve"> (NSW) ("Appeal and Review Act")</w:t>
      </w:r>
      <w:r w:rsidR="00E50030">
        <w:t xml:space="preserve"> </w:t>
      </w:r>
      <w:r w:rsidR="00182CEB">
        <w:t xml:space="preserve">for review of conviction and sentence – Where NSW Supreme Court judge dismissed application and Mr Huynh sought judicial review of decision – </w:t>
      </w:r>
      <w:r w:rsidR="009B73B0">
        <w:t xml:space="preserve">Whether post-appeal inquiry and review procedures in Pt 7, </w:t>
      </w:r>
      <w:proofErr w:type="spellStart"/>
      <w:r w:rsidR="009B73B0">
        <w:t>Div</w:t>
      </w:r>
      <w:proofErr w:type="spellEnd"/>
      <w:r w:rsidR="009B73B0">
        <w:t xml:space="preserve"> 3 of Appeal and Review Act available in relation to conviction or sentence for Commonwealth offence heard in NSW court – Whether power exercised by judge under s 79 </w:t>
      </w:r>
      <w:r w:rsidR="00C367AE">
        <w:t xml:space="preserve">of </w:t>
      </w:r>
      <w:r w:rsidR="00C367AE" w:rsidRPr="00C367AE">
        <w:t xml:space="preserve">Pt 7, </w:t>
      </w:r>
      <w:proofErr w:type="spellStart"/>
      <w:r w:rsidR="00C367AE" w:rsidRPr="00C367AE">
        <w:t>Div</w:t>
      </w:r>
      <w:proofErr w:type="spellEnd"/>
      <w:r w:rsidR="00C367AE" w:rsidRPr="00C367AE">
        <w:t xml:space="preserve"> 3 </w:t>
      </w:r>
      <w:r w:rsidR="009B73B0">
        <w:t>of Appeal and Review Act</w:t>
      </w:r>
      <w:r w:rsidR="00C367AE">
        <w:t>,</w:t>
      </w:r>
      <w:r w:rsidR="009B73B0">
        <w:t xml:space="preserve"> </w:t>
      </w:r>
      <w:r w:rsidR="00C367AE">
        <w:t xml:space="preserve">to consider applications for inquiry into conviction made under s 78, </w:t>
      </w:r>
      <w:r w:rsidR="009B73B0">
        <w:t>judicial or administrative in natur</w:t>
      </w:r>
      <w:r w:rsidR="000953F1">
        <w:t xml:space="preserve">e </w:t>
      </w:r>
      <w:r w:rsidR="009B73B0">
        <w:t xml:space="preserve">– Whether </w:t>
      </w:r>
      <w:r w:rsidR="009B73B0" w:rsidRPr="009B73B0">
        <w:t>ss 78-79 of Appeal and Review Act</w:t>
      </w:r>
      <w:r w:rsidR="009B73B0">
        <w:t xml:space="preserve"> appl</w:t>
      </w:r>
      <w:r w:rsidR="00182CEB">
        <w:t>y</w:t>
      </w:r>
      <w:r w:rsidR="009B73B0">
        <w:t xml:space="preserve"> as federal law pursuant to s 68(1) of </w:t>
      </w:r>
      <w:r w:rsidR="009B73B0">
        <w:rPr>
          <w:i/>
          <w:iCs/>
        </w:rPr>
        <w:t>Judiciary Act</w:t>
      </w:r>
      <w:r w:rsidR="009B73B0">
        <w:t xml:space="preserve"> in relation to conviction. </w:t>
      </w:r>
    </w:p>
    <w:p w14:paraId="423C4A8F" w14:textId="77777777" w:rsidR="001704F3" w:rsidRPr="00C32A1D" w:rsidRDefault="001704F3" w:rsidP="001704F3"/>
    <w:p w14:paraId="48D30887" w14:textId="033F2AA0" w:rsidR="001704F3" w:rsidRDefault="001704F3" w:rsidP="001704F3">
      <w:pPr>
        <w:rPr>
          <w:b/>
        </w:rPr>
      </w:pPr>
      <w:r w:rsidRPr="004E7695">
        <w:rPr>
          <w:b/>
        </w:rPr>
        <w:t>Appealed from</w:t>
      </w:r>
      <w:r>
        <w:rPr>
          <w:b/>
        </w:rPr>
        <w:t xml:space="preserve"> NSW (CA): </w:t>
      </w:r>
      <w:hyperlink r:id="rId64" w:history="1">
        <w:r w:rsidRPr="001704F3">
          <w:rPr>
            <w:rStyle w:val="Hyperlink"/>
            <w:rFonts w:cs="Verdana"/>
            <w:bCs/>
            <w:noProof w:val="0"/>
          </w:rPr>
          <w:t>[2021] NSWCA 297</w:t>
        </w:r>
      </w:hyperlink>
      <w:r>
        <w:rPr>
          <w:bCs/>
        </w:rPr>
        <w:t xml:space="preserve">; </w:t>
      </w:r>
      <w:r w:rsidR="00A93CE1" w:rsidRPr="00A93CE1">
        <w:rPr>
          <w:bCs/>
        </w:rPr>
        <w:t>(2021) 107 NSWLR 75</w:t>
      </w:r>
      <w:r w:rsidR="00A93CE1">
        <w:rPr>
          <w:bCs/>
        </w:rPr>
        <w:t>;</w:t>
      </w:r>
      <w:r w:rsidR="00A93CE1" w:rsidRPr="00A93CE1">
        <w:rPr>
          <w:bCs/>
        </w:rPr>
        <w:t xml:space="preserve"> </w:t>
      </w:r>
      <w:r w:rsidRPr="001704F3">
        <w:rPr>
          <w:bCs/>
        </w:rPr>
        <w:t>(2021) 396 ALR 422</w:t>
      </w:r>
    </w:p>
    <w:p w14:paraId="1DB1C98E" w14:textId="77777777" w:rsidR="001704F3" w:rsidRPr="00E064DF" w:rsidRDefault="001704F3" w:rsidP="001704F3"/>
    <w:p w14:paraId="62FAF3F7" w14:textId="228D8A8E" w:rsidR="001704F3" w:rsidRDefault="000F3638" w:rsidP="001704F3">
      <w:pPr>
        <w:rPr>
          <w:rStyle w:val="Hyperlink"/>
          <w:rFonts w:cs="Verdana"/>
          <w:bCs/>
        </w:rPr>
      </w:pPr>
      <w:hyperlink w:anchor="TOP" w:history="1">
        <w:r w:rsidR="001704F3" w:rsidRPr="004E7695">
          <w:rPr>
            <w:rStyle w:val="Hyperlink"/>
            <w:rFonts w:cs="Verdana"/>
            <w:bCs/>
          </w:rPr>
          <w:t>Return to Top</w:t>
        </w:r>
      </w:hyperlink>
    </w:p>
    <w:p w14:paraId="3F21E1F8" w14:textId="750671C6" w:rsidR="00B46C46" w:rsidRDefault="00B46C46" w:rsidP="00B46C46">
      <w:pPr>
        <w:pStyle w:val="Divider1"/>
      </w:pPr>
    </w:p>
    <w:p w14:paraId="1347A594" w14:textId="77777777" w:rsidR="002E2CD9" w:rsidRPr="002E2CD9" w:rsidRDefault="002E2CD9" w:rsidP="002E2CD9"/>
    <w:p w14:paraId="66D21B19" w14:textId="77777777" w:rsidR="002E2CD9" w:rsidRPr="00CC454A" w:rsidRDefault="002E2CD9" w:rsidP="002E2CD9">
      <w:pPr>
        <w:pStyle w:val="Heading3"/>
        <w:rPr>
          <w:i w:val="0"/>
          <w:iCs/>
        </w:rPr>
      </w:pPr>
      <w:r w:rsidRPr="00136F5C">
        <w:t>Davis v Minister for Immigration, Citizenship, Migrant Services and Multicultural Affairs &amp; Ors; DCM20 v Secretary of Department of Home Affairs &amp; Anor</w:t>
      </w:r>
      <w:r>
        <w:t xml:space="preserve"> </w:t>
      </w:r>
    </w:p>
    <w:p w14:paraId="25667782" w14:textId="77777777" w:rsidR="002E2CD9" w:rsidRPr="00136F5C" w:rsidRDefault="000F3638" w:rsidP="002E2CD9">
      <w:hyperlink r:id="rId65" w:history="1">
        <w:r w:rsidR="002E2CD9" w:rsidRPr="00744391">
          <w:rPr>
            <w:rStyle w:val="Hyperlink"/>
            <w:rFonts w:cs="Verdana"/>
            <w:b/>
            <w:bCs/>
            <w:noProof w:val="0"/>
          </w:rPr>
          <w:t>M32/2022; S81/2022</w:t>
        </w:r>
      </w:hyperlink>
      <w:r w:rsidR="002E2CD9">
        <w:rPr>
          <w:b/>
          <w:bCs/>
        </w:rPr>
        <w:t xml:space="preserve">: </w:t>
      </w:r>
      <w:hyperlink r:id="rId66" w:history="1">
        <w:r w:rsidR="002E2CD9" w:rsidRPr="00136F5C">
          <w:rPr>
            <w:rStyle w:val="Hyperlink"/>
            <w:rFonts w:cs="Verdana"/>
            <w:noProof w:val="0"/>
          </w:rPr>
          <w:t xml:space="preserve">[2022] </w:t>
        </w:r>
        <w:proofErr w:type="spellStart"/>
        <w:r w:rsidR="002E2CD9" w:rsidRPr="00136F5C">
          <w:rPr>
            <w:rStyle w:val="Hyperlink"/>
            <w:rFonts w:cs="Verdana"/>
            <w:noProof w:val="0"/>
          </w:rPr>
          <w:t>HCATrans</w:t>
        </w:r>
        <w:proofErr w:type="spellEnd"/>
        <w:r w:rsidR="002E2CD9" w:rsidRPr="00136F5C">
          <w:rPr>
            <w:rStyle w:val="Hyperlink"/>
            <w:rFonts w:cs="Verdana"/>
            <w:noProof w:val="0"/>
          </w:rPr>
          <w:t xml:space="preserve"> 89</w:t>
        </w:r>
      </w:hyperlink>
      <w:r w:rsidR="002E2CD9" w:rsidRPr="00136F5C">
        <w:t xml:space="preserve">; </w:t>
      </w:r>
      <w:hyperlink r:id="rId67" w:history="1">
        <w:r w:rsidR="002E2CD9" w:rsidRPr="00136F5C">
          <w:rPr>
            <w:rStyle w:val="Hyperlink"/>
            <w:rFonts w:cs="Verdana"/>
            <w:noProof w:val="0"/>
          </w:rPr>
          <w:t xml:space="preserve">[2022] </w:t>
        </w:r>
        <w:proofErr w:type="spellStart"/>
        <w:r w:rsidR="002E2CD9" w:rsidRPr="00136F5C">
          <w:rPr>
            <w:rStyle w:val="Hyperlink"/>
            <w:rFonts w:cs="Verdana"/>
            <w:noProof w:val="0"/>
          </w:rPr>
          <w:t>HCATrans</w:t>
        </w:r>
        <w:proofErr w:type="spellEnd"/>
        <w:r w:rsidR="002E2CD9" w:rsidRPr="00136F5C">
          <w:rPr>
            <w:rStyle w:val="Hyperlink"/>
            <w:rFonts w:cs="Verdana"/>
            <w:noProof w:val="0"/>
          </w:rPr>
          <w:t xml:space="preserve"> 90</w:t>
        </w:r>
      </w:hyperlink>
    </w:p>
    <w:p w14:paraId="67037F81" w14:textId="77777777" w:rsidR="002E2CD9" w:rsidRDefault="002E2CD9" w:rsidP="002E2CD9"/>
    <w:p w14:paraId="0C3F6A6F" w14:textId="77777777" w:rsidR="002E2CD9" w:rsidRPr="00523623" w:rsidRDefault="002E2CD9" w:rsidP="002E2CD9">
      <w:bookmarkStart w:id="127" w:name="_Hlk103594772"/>
      <w:r w:rsidRPr="004E7695">
        <w:rPr>
          <w:b/>
        </w:rPr>
        <w:t>Date</w:t>
      </w:r>
      <w:r>
        <w:rPr>
          <w:b/>
        </w:rPr>
        <w:t xml:space="preserve"> determined</w:t>
      </w:r>
      <w:r w:rsidRPr="004E7695">
        <w:rPr>
          <w:b/>
        </w:rPr>
        <w:t xml:space="preserve">: </w:t>
      </w:r>
      <w:r>
        <w:t xml:space="preserve">12 May 2022 – </w:t>
      </w:r>
      <w:r>
        <w:rPr>
          <w:i/>
        </w:rPr>
        <w:t>Special leave granted</w:t>
      </w:r>
    </w:p>
    <w:bookmarkEnd w:id="127"/>
    <w:p w14:paraId="77E2CD62" w14:textId="77777777" w:rsidR="002E2CD9" w:rsidRPr="004E7695" w:rsidRDefault="002E2CD9" w:rsidP="002E2CD9"/>
    <w:p w14:paraId="52EE171F" w14:textId="77777777" w:rsidR="002E2CD9" w:rsidRPr="004E7695" w:rsidRDefault="002E2CD9" w:rsidP="002E2CD9">
      <w:pPr>
        <w:rPr>
          <w:b/>
        </w:rPr>
      </w:pPr>
      <w:r w:rsidRPr="004E7695">
        <w:rPr>
          <w:b/>
        </w:rPr>
        <w:t>Catchwords:</w:t>
      </w:r>
    </w:p>
    <w:p w14:paraId="12F9D71B" w14:textId="77777777" w:rsidR="002E2CD9" w:rsidRDefault="002E2CD9" w:rsidP="002E2CD9"/>
    <w:p w14:paraId="15BDEE4B" w14:textId="77777777" w:rsidR="002E2CD9" w:rsidRPr="00C962A8" w:rsidRDefault="002E2CD9" w:rsidP="002E2CD9">
      <w:pPr>
        <w:ind w:left="720"/>
      </w:pPr>
      <w:r>
        <w:t xml:space="preserve">Constitutional law – Judicial review – Non-statutory executive action – Sections 61 and 64 of </w:t>
      </w:r>
      <w:r>
        <w:rPr>
          <w:i/>
          <w:iCs/>
        </w:rPr>
        <w:t>Constitution</w:t>
      </w:r>
      <w:r>
        <w:t xml:space="preserve"> – Where s 351(1) of the </w:t>
      </w:r>
      <w:r>
        <w:rPr>
          <w:i/>
          <w:iCs/>
        </w:rPr>
        <w:t>Migration Act 1958</w:t>
      </w:r>
      <w:r>
        <w:t xml:space="preserve"> (Cth) ("Act") provided if Minister thinks it in public interest, Minister may substitute decision of Administrative Appeals Tribunal under s 349 of Act for decision more favourable to applicant – Where s 351(3) and s 351(7) provided power under s 351(1) be exercised by Minister personally and Minister under no duty to consider whether to exercise power – Where Minister issued guidelines in relation to power conferred by s 351 setting out circumstances in which Department of Home Affairs should refer requests – Where Departmental officers concluded requests for intervention failed to satisfy criteria for referral in guidelines – Whether decision of Departmental officer not to refer to request for </w:t>
      </w:r>
      <w:r>
        <w:lastRenderedPageBreak/>
        <w:t xml:space="preserve">Minister to exercise power conferred by s 351(1) amenable to judicial review – Whether decision of Departmental officer affected by legal unreasonableness – Whether remedies available. </w:t>
      </w:r>
    </w:p>
    <w:p w14:paraId="326B71AA" w14:textId="77777777" w:rsidR="002E2CD9" w:rsidRPr="00C32A1D" w:rsidRDefault="002E2CD9" w:rsidP="002E2CD9"/>
    <w:p w14:paraId="5EF445FF" w14:textId="0C6FCCEB" w:rsidR="002E2CD9" w:rsidRPr="00A93CE1" w:rsidRDefault="002E2CD9" w:rsidP="002E2CD9">
      <w:pPr>
        <w:rPr>
          <w:bCs/>
        </w:rPr>
      </w:pPr>
      <w:r w:rsidRPr="004E7695">
        <w:rPr>
          <w:b/>
        </w:rPr>
        <w:t xml:space="preserve">Appealed from </w:t>
      </w:r>
      <w:r>
        <w:rPr>
          <w:b/>
        </w:rPr>
        <w:t xml:space="preserve">FCA (FC): </w:t>
      </w:r>
      <w:hyperlink r:id="rId68" w:history="1">
        <w:r w:rsidRPr="00CC454A">
          <w:rPr>
            <w:rStyle w:val="Hyperlink"/>
            <w:rFonts w:cs="Verdana"/>
            <w:bCs/>
            <w:noProof w:val="0"/>
          </w:rPr>
          <w:t>[2021] FCAFC 213</w:t>
        </w:r>
      </w:hyperlink>
      <w:r w:rsidR="00A93CE1">
        <w:rPr>
          <w:bCs/>
        </w:rPr>
        <w:t xml:space="preserve">; </w:t>
      </w:r>
      <w:r w:rsidR="00A93CE1" w:rsidRPr="00A93CE1">
        <w:rPr>
          <w:bCs/>
        </w:rPr>
        <w:t>(2021) 288 FCR 23</w:t>
      </w:r>
    </w:p>
    <w:p w14:paraId="5C2E2D2A" w14:textId="77777777" w:rsidR="002E2CD9" w:rsidRPr="00E064DF" w:rsidRDefault="002E2CD9" w:rsidP="002E2CD9"/>
    <w:p w14:paraId="728782D1" w14:textId="77777777" w:rsidR="002E2CD9" w:rsidRPr="002314BE" w:rsidRDefault="000F3638" w:rsidP="002E2CD9">
      <w:hyperlink w:anchor="TOP" w:history="1">
        <w:r w:rsidR="002E2CD9" w:rsidRPr="004E7695">
          <w:rPr>
            <w:rStyle w:val="Hyperlink"/>
            <w:rFonts w:cs="Verdana"/>
            <w:bCs/>
          </w:rPr>
          <w:t>Return to Top</w:t>
        </w:r>
      </w:hyperlink>
    </w:p>
    <w:p w14:paraId="6113A60F" w14:textId="74D79239" w:rsidR="00B46C46" w:rsidRDefault="00B46C46" w:rsidP="002E2CD9">
      <w:pPr>
        <w:pStyle w:val="Divider1"/>
      </w:pPr>
    </w:p>
    <w:p w14:paraId="0D118ACC" w14:textId="77777777" w:rsidR="002E2CD9" w:rsidRPr="002E2CD9" w:rsidRDefault="002E2CD9" w:rsidP="002E2CD9"/>
    <w:p w14:paraId="4533664A" w14:textId="6ED00255" w:rsidR="00B46C46" w:rsidRDefault="00B46C46" w:rsidP="00B46C46">
      <w:pPr>
        <w:pStyle w:val="Heading3"/>
        <w:tabs>
          <w:tab w:val="left" w:pos="426"/>
        </w:tabs>
      </w:pPr>
      <w:bookmarkStart w:id="128" w:name="_Vunilagi_v_The"/>
      <w:bookmarkEnd w:id="128"/>
      <w:proofErr w:type="spellStart"/>
      <w:r w:rsidRPr="00B46C46">
        <w:t>Vunilagi</w:t>
      </w:r>
      <w:proofErr w:type="spellEnd"/>
      <w:r w:rsidRPr="00B46C46">
        <w:t xml:space="preserve"> v The Queen &amp; Anor</w:t>
      </w:r>
    </w:p>
    <w:p w14:paraId="41DD1B2D" w14:textId="2B3D3E07" w:rsidR="00B46C46" w:rsidRPr="001704F3" w:rsidRDefault="000F3638" w:rsidP="00B46C46">
      <w:hyperlink r:id="rId69" w:history="1">
        <w:r w:rsidR="00DE31BC" w:rsidRPr="004445CA">
          <w:rPr>
            <w:rStyle w:val="Hyperlink"/>
            <w:rFonts w:cs="Verdana"/>
            <w:b/>
            <w:bCs/>
            <w:noProof w:val="0"/>
          </w:rPr>
          <w:t>C</w:t>
        </w:r>
        <w:r w:rsidR="004445CA" w:rsidRPr="004445CA">
          <w:rPr>
            <w:rStyle w:val="Hyperlink"/>
            <w:rFonts w:cs="Verdana"/>
            <w:b/>
            <w:bCs/>
            <w:noProof w:val="0"/>
          </w:rPr>
          <w:t>1</w:t>
        </w:r>
        <w:r w:rsidR="00DE31BC" w:rsidRPr="004445CA">
          <w:rPr>
            <w:rStyle w:val="Hyperlink"/>
            <w:rFonts w:cs="Verdana"/>
            <w:b/>
            <w:bCs/>
            <w:noProof w:val="0"/>
          </w:rPr>
          <w:t>3/202</w:t>
        </w:r>
        <w:r w:rsidR="004445CA" w:rsidRPr="004445CA">
          <w:rPr>
            <w:rStyle w:val="Hyperlink"/>
            <w:rFonts w:cs="Verdana"/>
            <w:b/>
            <w:bCs/>
            <w:noProof w:val="0"/>
          </w:rPr>
          <w:t>2</w:t>
        </w:r>
      </w:hyperlink>
      <w:r w:rsidR="00B46C46">
        <w:rPr>
          <w:b/>
          <w:bCs/>
        </w:rPr>
        <w:t xml:space="preserve">: </w:t>
      </w:r>
      <w:hyperlink r:id="rId70" w:history="1">
        <w:r w:rsidR="00C4145D" w:rsidRPr="00C4145D">
          <w:rPr>
            <w:rStyle w:val="Hyperlink"/>
            <w:rFonts w:cs="Verdana"/>
            <w:noProof w:val="0"/>
          </w:rPr>
          <w:t xml:space="preserve">[2022] </w:t>
        </w:r>
        <w:proofErr w:type="spellStart"/>
        <w:r w:rsidR="00C4145D" w:rsidRPr="00C4145D">
          <w:rPr>
            <w:rStyle w:val="Hyperlink"/>
            <w:rFonts w:cs="Verdana"/>
            <w:noProof w:val="0"/>
          </w:rPr>
          <w:t>HCATrans</w:t>
        </w:r>
        <w:proofErr w:type="spellEnd"/>
        <w:r w:rsidR="00C4145D" w:rsidRPr="00C4145D">
          <w:rPr>
            <w:rStyle w:val="Hyperlink"/>
            <w:rFonts w:cs="Verdana"/>
            <w:noProof w:val="0"/>
          </w:rPr>
          <w:t xml:space="preserve"> 113</w:t>
        </w:r>
      </w:hyperlink>
    </w:p>
    <w:p w14:paraId="5A685BA5" w14:textId="77777777" w:rsidR="00B46C46" w:rsidRDefault="00B46C46" w:rsidP="00B46C46"/>
    <w:p w14:paraId="7090C206" w14:textId="2943A2F4" w:rsidR="00B46C46" w:rsidRPr="00523623" w:rsidRDefault="00B46C46" w:rsidP="00B46C46">
      <w:r w:rsidRPr="004E7695">
        <w:rPr>
          <w:b/>
        </w:rPr>
        <w:t>Date</w:t>
      </w:r>
      <w:r>
        <w:rPr>
          <w:b/>
        </w:rPr>
        <w:t xml:space="preserve"> heard</w:t>
      </w:r>
      <w:r w:rsidRPr="004E7695">
        <w:rPr>
          <w:b/>
        </w:rPr>
        <w:t xml:space="preserve">: </w:t>
      </w:r>
      <w:r w:rsidR="00DE31BC">
        <w:t>17 June</w:t>
      </w:r>
      <w:r>
        <w:t xml:space="preserve"> 2022 – </w:t>
      </w:r>
      <w:r>
        <w:rPr>
          <w:i/>
        </w:rPr>
        <w:t>Special leave granted</w:t>
      </w:r>
    </w:p>
    <w:p w14:paraId="7C704E65" w14:textId="77777777" w:rsidR="00B46C46" w:rsidRPr="004E7695" w:rsidRDefault="00B46C46" w:rsidP="00B46C46"/>
    <w:p w14:paraId="7B7C8062" w14:textId="77777777" w:rsidR="00B46C46" w:rsidRPr="004E7695" w:rsidRDefault="00B46C46" w:rsidP="00B46C46">
      <w:pPr>
        <w:rPr>
          <w:b/>
        </w:rPr>
      </w:pPr>
      <w:r w:rsidRPr="004E7695">
        <w:rPr>
          <w:b/>
        </w:rPr>
        <w:t>Catchwords:</w:t>
      </w:r>
    </w:p>
    <w:p w14:paraId="72562E01" w14:textId="77777777" w:rsidR="00B46C46" w:rsidRDefault="00B46C46" w:rsidP="00B46C46"/>
    <w:p w14:paraId="6F2FC6AF" w14:textId="622B086D" w:rsidR="00B46C46" w:rsidRPr="00925DDB" w:rsidRDefault="00B46C46" w:rsidP="00925DDB">
      <w:pPr>
        <w:ind w:left="720"/>
      </w:pPr>
      <w:r>
        <w:t xml:space="preserve">Constitutional law – </w:t>
      </w:r>
      <w:r w:rsidR="003A3314" w:rsidRPr="003A3314">
        <w:t>Powers of courts – Powers of Legislative Assembly of Australian Capital Territory – Trial by jury –</w:t>
      </w:r>
      <w:r w:rsidR="003A3314">
        <w:t xml:space="preserve"> </w:t>
      </w:r>
      <w:r w:rsidR="00B87B80">
        <w:t>Where appellant arrested and committed to trial – Where</w:t>
      </w:r>
      <w:r w:rsidR="00594A23">
        <w:t>, following</w:t>
      </w:r>
      <w:r w:rsidR="00B87B80">
        <w:t xml:space="preserve"> COVID-19 </w:t>
      </w:r>
      <w:r w:rsidR="00594A23">
        <w:t>outbreak,</w:t>
      </w:r>
      <w:r w:rsidR="00B87B80">
        <w:t xml:space="preserve"> </w:t>
      </w:r>
      <w:r w:rsidR="00B87B80" w:rsidRPr="00B87B80">
        <w:rPr>
          <w:i/>
          <w:iCs/>
        </w:rPr>
        <w:t>Supreme Court Act 1933</w:t>
      </w:r>
      <w:r w:rsidR="00B87B80" w:rsidRPr="00B87B80">
        <w:t xml:space="preserve"> (ACT)</w:t>
      </w:r>
      <w:r w:rsidR="00B87B80">
        <w:t xml:space="preserve"> amended by  </w:t>
      </w:r>
      <w:r w:rsidR="00B87B80" w:rsidRPr="00B87B80">
        <w:rPr>
          <w:i/>
          <w:iCs/>
        </w:rPr>
        <w:t>COVID-19 Emergency Response Act 2020</w:t>
      </w:r>
      <w:r w:rsidR="00B87B80">
        <w:t xml:space="preserve"> (ACT) to include s 68BA which provided</w:t>
      </w:r>
      <w:r w:rsidR="00925DDB">
        <w:t xml:space="preserve">, relevantly, Court may order </w:t>
      </w:r>
      <w:r w:rsidR="00594A23">
        <w:t>trial</w:t>
      </w:r>
      <w:r w:rsidR="00925DDB">
        <w:t xml:space="preserve"> by judge alone – Where </w:t>
      </w:r>
      <w:r w:rsidR="00594A23">
        <w:t>appellant</w:t>
      </w:r>
      <w:r w:rsidR="00925DDB">
        <w:t xml:space="preserve"> advised Chief Justice proposed making order pursuant to s 68BA – Where </w:t>
      </w:r>
      <w:r w:rsidR="00925DDB" w:rsidRPr="00925DDB">
        <w:t>appellant and first respondent</w:t>
      </w:r>
      <w:r w:rsidR="00925DDB">
        <w:t xml:space="preserve"> opposed making of order – Where s 68BA repealed, but continued to apply to appellant by operation of s 116 and 117 of </w:t>
      </w:r>
      <w:r w:rsidR="00925DDB">
        <w:rPr>
          <w:i/>
          <w:iCs/>
        </w:rPr>
        <w:t xml:space="preserve">Supreme Court Act </w:t>
      </w:r>
      <w:r w:rsidR="00925DDB">
        <w:t xml:space="preserve">– Where Chief Justice ordered appellant's trial to proceed by judge alone – Where appellant found guilty – Whether s 68BA contravened limitation deriving from </w:t>
      </w:r>
      <w:r w:rsidR="00925DDB" w:rsidRPr="00925DDB">
        <w:rPr>
          <w:i/>
          <w:iCs/>
        </w:rPr>
        <w:t>Kable v Director of</w:t>
      </w:r>
      <w:r w:rsidR="003A3314">
        <w:rPr>
          <w:i/>
          <w:iCs/>
        </w:rPr>
        <w:t xml:space="preserve"> </w:t>
      </w:r>
      <w:r w:rsidR="00925DDB" w:rsidRPr="00925DDB">
        <w:rPr>
          <w:i/>
          <w:iCs/>
        </w:rPr>
        <w:t>Public Prosecutions</w:t>
      </w:r>
      <w:r w:rsidR="00925DDB">
        <w:t xml:space="preserve"> (NSW) (1996) 198 CLR 511 – Whether s 68BA inconsistent with requirement in s 80 of </w:t>
      </w:r>
      <w:r w:rsidR="00925DDB">
        <w:rPr>
          <w:i/>
          <w:iCs/>
        </w:rPr>
        <w:t xml:space="preserve">Constitution </w:t>
      </w:r>
      <w:r w:rsidR="00925DDB">
        <w:t xml:space="preserve">that </w:t>
      </w:r>
      <w:r w:rsidR="00925DDB" w:rsidRPr="00925DDB">
        <w:t>trial on indictment of any offence against law of Commonwealth be by jury</w:t>
      </w:r>
      <w:r w:rsidR="00925DDB">
        <w:t>.</w:t>
      </w:r>
    </w:p>
    <w:p w14:paraId="16E61E30" w14:textId="77777777" w:rsidR="00B46C46" w:rsidRPr="00C32A1D" w:rsidRDefault="00B46C46" w:rsidP="00B46C46"/>
    <w:p w14:paraId="1520DF99" w14:textId="0427AE01" w:rsidR="00B46C46" w:rsidRDefault="00B46C46" w:rsidP="00B46C46">
      <w:pPr>
        <w:rPr>
          <w:b/>
        </w:rPr>
      </w:pPr>
      <w:r w:rsidRPr="004E7695">
        <w:rPr>
          <w:b/>
        </w:rPr>
        <w:t>Appealed from</w:t>
      </w:r>
      <w:r>
        <w:rPr>
          <w:b/>
        </w:rPr>
        <w:t xml:space="preserve"> </w:t>
      </w:r>
      <w:r w:rsidR="00DE31BC">
        <w:rPr>
          <w:b/>
        </w:rPr>
        <w:t>ACTSC</w:t>
      </w:r>
      <w:r>
        <w:rPr>
          <w:b/>
        </w:rPr>
        <w:t xml:space="preserve"> (CA): </w:t>
      </w:r>
      <w:hyperlink r:id="rId71" w:history="1">
        <w:r w:rsidR="00DE31BC" w:rsidRPr="0005192C">
          <w:rPr>
            <w:rStyle w:val="Hyperlink"/>
            <w:rFonts w:cs="Verdana"/>
            <w:noProof w:val="0"/>
          </w:rPr>
          <w:t>[2021] ACTCA 12</w:t>
        </w:r>
      </w:hyperlink>
      <w:r w:rsidR="00DF16B3">
        <w:t xml:space="preserve">; </w:t>
      </w:r>
      <w:r w:rsidR="00DF16B3" w:rsidRPr="00DF16B3">
        <w:t>(2021) 17 ACTLR 72</w:t>
      </w:r>
      <w:r w:rsidR="00DF16B3">
        <w:t xml:space="preserve">; </w:t>
      </w:r>
      <w:r w:rsidR="00DF16B3" w:rsidRPr="00DF16B3">
        <w:t>(2021) 362 FLR 385</w:t>
      </w:r>
    </w:p>
    <w:p w14:paraId="69E49260" w14:textId="21DA98A8" w:rsidR="00BF1AC2" w:rsidRDefault="00BF1AC2" w:rsidP="00BF1AC2">
      <w:pPr>
        <w:pStyle w:val="Divider2"/>
        <w:pBdr>
          <w:bottom w:val="double" w:sz="6" w:space="0" w:color="auto"/>
        </w:pBdr>
      </w:pPr>
      <w:bookmarkStart w:id="129" w:name="_Commonwealth_of_Australia"/>
      <w:bookmarkStart w:id="130" w:name="Statutes4"/>
      <w:bookmarkEnd w:id="123"/>
      <w:bookmarkEnd w:id="129"/>
    </w:p>
    <w:p w14:paraId="5A1F1CDA" w14:textId="77777777" w:rsidR="00660236" w:rsidRPr="00660236" w:rsidRDefault="00660236" w:rsidP="00660236"/>
    <w:p w14:paraId="326298F0" w14:textId="77777777" w:rsidR="00660236" w:rsidRDefault="00660236" w:rsidP="00660236">
      <w:pPr>
        <w:pStyle w:val="Heading2"/>
      </w:pPr>
      <w:r>
        <w:t>Contracts</w:t>
      </w:r>
    </w:p>
    <w:p w14:paraId="0B91FC11" w14:textId="77777777" w:rsidR="00660236" w:rsidRDefault="00660236" w:rsidP="00660236"/>
    <w:p w14:paraId="7A7FD996" w14:textId="77777777" w:rsidR="00660236" w:rsidRPr="00DD7F6B" w:rsidRDefault="00660236" w:rsidP="00660236">
      <w:pPr>
        <w:pStyle w:val="Heading3"/>
      </w:pPr>
      <w:bookmarkStart w:id="131" w:name="_Laundy_Hotels_(Quarry)"/>
      <w:bookmarkEnd w:id="131"/>
      <w:proofErr w:type="spellStart"/>
      <w:r w:rsidRPr="00DD7F6B">
        <w:t>Laundy</w:t>
      </w:r>
      <w:proofErr w:type="spellEnd"/>
      <w:r w:rsidRPr="00DD7F6B">
        <w:t xml:space="preserve"> Hotels (Quarry)</w:t>
      </w:r>
      <w:r>
        <w:t xml:space="preserve"> </w:t>
      </w:r>
      <w:r w:rsidRPr="00DD7F6B">
        <w:t>Pty Limited</w:t>
      </w:r>
      <w:r>
        <w:t xml:space="preserve"> v </w:t>
      </w:r>
      <w:proofErr w:type="spellStart"/>
      <w:r w:rsidRPr="00DD7F6B">
        <w:t>Dyco</w:t>
      </w:r>
      <w:proofErr w:type="spellEnd"/>
      <w:r w:rsidRPr="00DD7F6B">
        <w:t xml:space="preserve"> Hotels Pty Limited </w:t>
      </w:r>
      <w:proofErr w:type="spellStart"/>
      <w:r w:rsidRPr="00DD7F6B">
        <w:t>atf</w:t>
      </w:r>
      <w:proofErr w:type="spellEnd"/>
      <w:r w:rsidRPr="00DD7F6B">
        <w:t xml:space="preserve"> The</w:t>
      </w:r>
      <w:r>
        <w:t xml:space="preserve"> </w:t>
      </w:r>
      <w:proofErr w:type="spellStart"/>
      <w:r w:rsidRPr="00DD7F6B">
        <w:t>Parras</w:t>
      </w:r>
      <w:proofErr w:type="spellEnd"/>
      <w:r w:rsidRPr="00DD7F6B">
        <w:t xml:space="preserve"> Family Trust &amp; Ors</w:t>
      </w:r>
    </w:p>
    <w:p w14:paraId="15CB3F4A" w14:textId="77777777" w:rsidR="00660236" w:rsidRPr="00DD7F6B" w:rsidRDefault="00660236" w:rsidP="00660236">
      <w:r>
        <w:rPr>
          <w:b/>
          <w:bCs/>
        </w:rPr>
        <w:t>S8/2022</w:t>
      </w:r>
      <w:hyperlink r:id="rId72" w:history="1"/>
      <w:r w:rsidRPr="00DD7F6B">
        <w:rPr>
          <w:b/>
        </w:rPr>
        <w:t>:</w:t>
      </w:r>
      <w:r w:rsidRPr="00DD7F6B">
        <w:t xml:space="preserve"> </w:t>
      </w:r>
      <w:hyperlink r:id="rId73" w:history="1">
        <w:r w:rsidRPr="00116C91">
          <w:rPr>
            <w:rStyle w:val="Hyperlink"/>
            <w:rFonts w:cs="Verdana"/>
            <w:noProof w:val="0"/>
          </w:rPr>
          <w:t xml:space="preserve">[2022] </w:t>
        </w:r>
        <w:proofErr w:type="spellStart"/>
        <w:r w:rsidRPr="00116C91">
          <w:rPr>
            <w:rStyle w:val="Hyperlink"/>
            <w:rFonts w:cs="Verdana"/>
            <w:noProof w:val="0"/>
          </w:rPr>
          <w:t>HCATrans</w:t>
        </w:r>
        <w:proofErr w:type="spellEnd"/>
        <w:r w:rsidRPr="00116C91">
          <w:rPr>
            <w:rStyle w:val="Hyperlink"/>
            <w:rFonts w:cs="Verdana"/>
            <w:noProof w:val="0"/>
          </w:rPr>
          <w:t xml:space="preserve"> 136</w:t>
        </w:r>
      </w:hyperlink>
    </w:p>
    <w:p w14:paraId="3147ADA9" w14:textId="77777777" w:rsidR="00660236" w:rsidRPr="00DD7F6B" w:rsidRDefault="00660236" w:rsidP="00660236"/>
    <w:p w14:paraId="25DDF394" w14:textId="77777777" w:rsidR="00660236" w:rsidRPr="00DD7F6B" w:rsidRDefault="00660236" w:rsidP="00660236">
      <w:r w:rsidRPr="00DD7F6B">
        <w:rPr>
          <w:b/>
        </w:rPr>
        <w:t>Date heard:</w:t>
      </w:r>
      <w:r w:rsidRPr="00DD7F6B">
        <w:t xml:space="preserve"> 1</w:t>
      </w:r>
      <w:r>
        <w:t>9</w:t>
      </w:r>
      <w:r w:rsidRPr="00DD7F6B">
        <w:t xml:space="preserve"> August 2022 – </w:t>
      </w:r>
      <w:r w:rsidRPr="00DD7F6B">
        <w:rPr>
          <w:i/>
        </w:rPr>
        <w:t>Special leave granted</w:t>
      </w:r>
    </w:p>
    <w:p w14:paraId="4ED63DAC" w14:textId="77777777" w:rsidR="00660236" w:rsidRPr="00DD7F6B" w:rsidRDefault="00660236" w:rsidP="00660236"/>
    <w:p w14:paraId="0C08BF36" w14:textId="77777777" w:rsidR="00660236" w:rsidRPr="00DD7F6B" w:rsidRDefault="00660236" w:rsidP="00660236">
      <w:pPr>
        <w:rPr>
          <w:b/>
        </w:rPr>
      </w:pPr>
      <w:r w:rsidRPr="00DD7F6B">
        <w:rPr>
          <w:b/>
        </w:rPr>
        <w:t>Catchwords:</w:t>
      </w:r>
    </w:p>
    <w:p w14:paraId="469C3848" w14:textId="77777777" w:rsidR="00660236" w:rsidRPr="00DD7F6B" w:rsidRDefault="00660236" w:rsidP="00660236">
      <w:pPr>
        <w:rPr>
          <w:b/>
        </w:rPr>
      </w:pPr>
    </w:p>
    <w:p w14:paraId="72280ECD" w14:textId="77777777" w:rsidR="00660236" w:rsidRPr="00DD7F6B" w:rsidRDefault="00660236" w:rsidP="00660236">
      <w:pPr>
        <w:ind w:left="720"/>
      </w:pPr>
      <w:r w:rsidRPr="00DD7F6B">
        <w:t>Co</w:t>
      </w:r>
      <w:r>
        <w:t xml:space="preserve">ntracts – Construction – Interpretation – Termination – Frustration – Supervening illegality – Covid-19 – Public Health Order – Where settlement of goodwill, plant and equipment under contract for sale </w:t>
      </w:r>
      <w:r>
        <w:lastRenderedPageBreak/>
        <w:t xml:space="preserve">of hotel and associated business agreed to take place on 30 March 2020 – Where cl 50.1 of contract required vendor to carry on business in </w:t>
      </w:r>
      <w:r w:rsidRPr="00905D5F">
        <w:t xml:space="preserve">usual and ordinary course as regards its nature, scope and manner and repair and maintain </w:t>
      </w:r>
      <w:r>
        <w:t>a</w:t>
      </w:r>
      <w:r w:rsidRPr="00905D5F">
        <w:t xml:space="preserve">ssets in same manner as at date of </w:t>
      </w:r>
      <w:r>
        <w:t>c</w:t>
      </w:r>
      <w:r w:rsidRPr="00905D5F">
        <w:t>ontract</w:t>
      </w:r>
      <w:r>
        <w:t xml:space="preserve"> and use reasonable endeavours to ensure all items on inventory in good repair and in proper working order – Where </w:t>
      </w:r>
      <w:r w:rsidRPr="00905D5F">
        <w:rPr>
          <w:i/>
          <w:iCs/>
        </w:rPr>
        <w:t>Public Health (Covid-19 Places of Social Gathering) Order 2020</w:t>
      </w:r>
      <w:r>
        <w:t xml:space="preserve"> (NSW), made pursuant to </w:t>
      </w:r>
      <w:r w:rsidRPr="005C4230">
        <w:rPr>
          <w:i/>
          <w:iCs/>
        </w:rPr>
        <w:t>Public Health Act 2010</w:t>
      </w:r>
      <w:r w:rsidRPr="005C4230">
        <w:t xml:space="preserve"> (NSW),</w:t>
      </w:r>
      <w:r>
        <w:t xml:space="preserve"> came into effect on 23 March 2020 and prohibited opening of pubs except for sale of food and beverages to be consumed off premises – Where purchasers asserted contract had been frustrated – Whether supervening illegality pursuant to Public Health Order suspended parties' obligations to seek completion of contract – Whether Public Health Order amounted to doctrine of temporary suspension of obligations inconsistent with approach to resolving questions of supervening illegality. </w:t>
      </w:r>
    </w:p>
    <w:p w14:paraId="05CCB6DA" w14:textId="77777777" w:rsidR="00660236" w:rsidRPr="00DD7F6B" w:rsidRDefault="00660236" w:rsidP="00660236">
      <w:pPr>
        <w:ind w:left="720"/>
      </w:pPr>
    </w:p>
    <w:p w14:paraId="198F7DB9" w14:textId="77777777" w:rsidR="00660236" w:rsidRPr="00DD7F6B" w:rsidRDefault="00660236" w:rsidP="00660236">
      <w:r w:rsidRPr="00DD7F6B">
        <w:rPr>
          <w:b/>
        </w:rPr>
        <w:t xml:space="preserve">Appealed from </w:t>
      </w:r>
      <w:r>
        <w:rPr>
          <w:b/>
        </w:rPr>
        <w:t>NSW</w:t>
      </w:r>
      <w:r w:rsidRPr="00DD7F6B">
        <w:rPr>
          <w:b/>
        </w:rPr>
        <w:t xml:space="preserve"> (C</w:t>
      </w:r>
      <w:r>
        <w:rPr>
          <w:b/>
        </w:rPr>
        <w:t>A</w:t>
      </w:r>
      <w:r w:rsidRPr="00DD7F6B">
        <w:rPr>
          <w:b/>
        </w:rPr>
        <w:t>):</w:t>
      </w:r>
      <w:r w:rsidRPr="00DD7F6B">
        <w:rPr>
          <w:bCs/>
        </w:rPr>
        <w:t xml:space="preserve"> </w:t>
      </w:r>
      <w:hyperlink r:id="rId74" w:history="1">
        <w:r w:rsidRPr="007409C2">
          <w:rPr>
            <w:rStyle w:val="Hyperlink"/>
            <w:rFonts w:cs="Verdana"/>
            <w:bCs/>
            <w:noProof w:val="0"/>
          </w:rPr>
          <w:t>[2021] NSWCA 332</w:t>
        </w:r>
      </w:hyperlink>
      <w:r>
        <w:rPr>
          <w:bCs/>
        </w:rPr>
        <w:t xml:space="preserve">; </w:t>
      </w:r>
      <w:r w:rsidRPr="00A93CE1">
        <w:rPr>
          <w:bCs/>
        </w:rPr>
        <w:t>(2021) 396 ALR 340</w:t>
      </w:r>
    </w:p>
    <w:p w14:paraId="30D6E259" w14:textId="77777777" w:rsidR="00660236" w:rsidRPr="00DD7F6B" w:rsidRDefault="00660236" w:rsidP="00660236"/>
    <w:p w14:paraId="3EB63664" w14:textId="77777777" w:rsidR="00660236" w:rsidRPr="00DD7F6B" w:rsidRDefault="000F3638" w:rsidP="00660236">
      <w:pPr>
        <w:rPr>
          <w:rFonts w:cs="Arial"/>
          <w:bCs/>
          <w:noProof/>
          <w:color w:val="0000FF"/>
          <w:u w:val="single"/>
        </w:rPr>
      </w:pPr>
      <w:hyperlink w:anchor="TOP" w:history="1">
        <w:r w:rsidR="00660236" w:rsidRPr="00DD7F6B">
          <w:rPr>
            <w:rFonts w:cs="Arial"/>
            <w:bCs/>
            <w:noProof/>
            <w:color w:val="0000FF"/>
            <w:u w:val="single"/>
          </w:rPr>
          <w:t>Return to Top</w:t>
        </w:r>
      </w:hyperlink>
    </w:p>
    <w:p w14:paraId="3DCE9390" w14:textId="25505A55" w:rsidR="00A94923" w:rsidRDefault="00A94923" w:rsidP="00660236">
      <w:pPr>
        <w:pStyle w:val="Divider2"/>
      </w:pPr>
    </w:p>
    <w:p w14:paraId="16A62DF9" w14:textId="77777777" w:rsidR="00660236" w:rsidRPr="00660236" w:rsidRDefault="00660236" w:rsidP="00660236"/>
    <w:p w14:paraId="73EAEB9B" w14:textId="0B1D9660" w:rsidR="00A94923" w:rsidRDefault="00A94923" w:rsidP="00A94923">
      <w:pPr>
        <w:pStyle w:val="Heading2"/>
      </w:pPr>
      <w:r>
        <w:t xml:space="preserve">Copyright </w:t>
      </w:r>
    </w:p>
    <w:p w14:paraId="165D95B1" w14:textId="77777777" w:rsidR="00A94923" w:rsidRDefault="00A94923" w:rsidP="00A94923"/>
    <w:p w14:paraId="1F446EDC" w14:textId="78DBA1B1" w:rsidR="00A94923" w:rsidRPr="00D0009F" w:rsidRDefault="00A94923" w:rsidP="00A94923">
      <w:pPr>
        <w:pStyle w:val="Heading3"/>
        <w:tabs>
          <w:tab w:val="left" w:pos="426"/>
        </w:tabs>
      </w:pPr>
      <w:bookmarkStart w:id="132" w:name="_RP_Data_Pty"/>
      <w:bookmarkEnd w:id="132"/>
      <w:r w:rsidRPr="00A94923">
        <w:t xml:space="preserve">Realestate.com.au </w:t>
      </w:r>
      <w:r w:rsidR="00C97B7C">
        <w:t xml:space="preserve">Pty Ltd </w:t>
      </w:r>
      <w:r>
        <w:t xml:space="preserve">v </w:t>
      </w:r>
      <w:r w:rsidRPr="00A94923">
        <w:t>Hardingham &amp; Ors</w:t>
      </w:r>
      <w:r w:rsidR="00540E77">
        <w:t>;</w:t>
      </w:r>
      <w:r w:rsidR="00540E77" w:rsidRPr="00540E77">
        <w:t xml:space="preserve"> </w:t>
      </w:r>
      <w:r w:rsidR="00540E77" w:rsidRPr="00A94923">
        <w:t xml:space="preserve">RP Data Pty Limited </w:t>
      </w:r>
      <w:r w:rsidR="00540E77">
        <w:t>v Hardingham &amp; Ors</w:t>
      </w:r>
    </w:p>
    <w:p w14:paraId="1F5DB34F" w14:textId="52F947F4" w:rsidR="00A94923" w:rsidRDefault="000F3638" w:rsidP="00A94923">
      <w:hyperlink r:id="rId75" w:history="1">
        <w:r w:rsidR="00A94923" w:rsidRPr="005F1C25">
          <w:rPr>
            <w:rStyle w:val="Hyperlink"/>
            <w:rFonts w:cs="Verdana"/>
            <w:b/>
            <w:bCs/>
            <w:noProof w:val="0"/>
          </w:rPr>
          <w:t>S</w:t>
        </w:r>
        <w:r w:rsidR="005F1C25" w:rsidRPr="005F1C25">
          <w:rPr>
            <w:rStyle w:val="Hyperlink"/>
            <w:rFonts w:cs="Verdana"/>
            <w:b/>
            <w:bCs/>
            <w:noProof w:val="0"/>
          </w:rPr>
          <w:t>57</w:t>
        </w:r>
        <w:r w:rsidR="00A94923" w:rsidRPr="005F1C25">
          <w:rPr>
            <w:rStyle w:val="Hyperlink"/>
            <w:rFonts w:cs="Verdana"/>
            <w:b/>
            <w:bCs/>
            <w:noProof w:val="0"/>
          </w:rPr>
          <w:t>/202</w:t>
        </w:r>
        <w:r w:rsidR="005F1C25" w:rsidRPr="005F1C25">
          <w:rPr>
            <w:rStyle w:val="Hyperlink"/>
            <w:rFonts w:cs="Verdana"/>
            <w:b/>
            <w:bCs/>
            <w:noProof w:val="0"/>
          </w:rPr>
          <w:t>2</w:t>
        </w:r>
        <w:r w:rsidR="00A94923" w:rsidRPr="005F1C25">
          <w:rPr>
            <w:rStyle w:val="Hyperlink"/>
            <w:rFonts w:cs="Verdana"/>
            <w:b/>
            <w:bCs/>
            <w:noProof w:val="0"/>
          </w:rPr>
          <w:t>; S</w:t>
        </w:r>
        <w:r w:rsidR="005F1C25" w:rsidRPr="005F1C25">
          <w:rPr>
            <w:rStyle w:val="Hyperlink"/>
            <w:rFonts w:cs="Verdana"/>
            <w:b/>
            <w:bCs/>
            <w:noProof w:val="0"/>
          </w:rPr>
          <w:t>58</w:t>
        </w:r>
        <w:r w:rsidR="00A94923" w:rsidRPr="005F1C25">
          <w:rPr>
            <w:rStyle w:val="Hyperlink"/>
            <w:rFonts w:cs="Verdana"/>
            <w:b/>
            <w:bCs/>
            <w:noProof w:val="0"/>
          </w:rPr>
          <w:t>/202</w:t>
        </w:r>
        <w:r w:rsidR="005F1C25" w:rsidRPr="005F1C25">
          <w:rPr>
            <w:rStyle w:val="Hyperlink"/>
            <w:rFonts w:cs="Verdana"/>
            <w:b/>
            <w:bCs/>
            <w:noProof w:val="0"/>
          </w:rPr>
          <w:t>2</w:t>
        </w:r>
      </w:hyperlink>
      <w:hyperlink r:id="rId76" w:history="1"/>
      <w:r w:rsidR="00A94923" w:rsidRPr="00D0009F">
        <w:rPr>
          <w:b/>
        </w:rPr>
        <w:t>:</w:t>
      </w:r>
      <w:r w:rsidR="00A94923" w:rsidRPr="00D0009F">
        <w:t xml:space="preserve"> </w:t>
      </w:r>
      <w:hyperlink r:id="rId77" w:history="1">
        <w:r w:rsidR="00771D9B" w:rsidRPr="00771D9B">
          <w:rPr>
            <w:rStyle w:val="Hyperlink"/>
            <w:rFonts w:cs="Verdana"/>
            <w:noProof w:val="0"/>
          </w:rPr>
          <w:t xml:space="preserve">[2022] </w:t>
        </w:r>
        <w:proofErr w:type="spellStart"/>
        <w:r w:rsidR="00771D9B" w:rsidRPr="00771D9B">
          <w:rPr>
            <w:rStyle w:val="Hyperlink"/>
            <w:rFonts w:cs="Verdana"/>
            <w:noProof w:val="0"/>
          </w:rPr>
          <w:t>HCATrans</w:t>
        </w:r>
        <w:proofErr w:type="spellEnd"/>
        <w:r w:rsidR="00771D9B" w:rsidRPr="00771D9B">
          <w:rPr>
            <w:rStyle w:val="Hyperlink"/>
            <w:rFonts w:cs="Verdana"/>
            <w:noProof w:val="0"/>
          </w:rPr>
          <w:t xml:space="preserve"> 64</w:t>
        </w:r>
      </w:hyperlink>
    </w:p>
    <w:p w14:paraId="68B498D1" w14:textId="77777777" w:rsidR="00A94923" w:rsidRDefault="00A94923" w:rsidP="00A94923"/>
    <w:p w14:paraId="73576FD3" w14:textId="16E2F7E0" w:rsidR="00A94923" w:rsidRPr="00D43080" w:rsidRDefault="00A94923" w:rsidP="00A94923">
      <w:r w:rsidRPr="004E7695">
        <w:rPr>
          <w:b/>
        </w:rPr>
        <w:t xml:space="preserve">Date </w:t>
      </w:r>
      <w:r>
        <w:rPr>
          <w:b/>
        </w:rPr>
        <w:t>heard</w:t>
      </w:r>
      <w:r w:rsidRPr="004E7695">
        <w:rPr>
          <w:b/>
        </w:rPr>
        <w:t>:</w:t>
      </w:r>
      <w:r w:rsidRPr="00FC0B58">
        <w:t xml:space="preserve"> </w:t>
      </w:r>
      <w:r w:rsidR="00C87AA7">
        <w:t>12 April</w:t>
      </w:r>
      <w:r>
        <w:t xml:space="preserve"> 2022 – </w:t>
      </w:r>
      <w:r>
        <w:rPr>
          <w:i/>
        </w:rPr>
        <w:t>Special leave granted</w:t>
      </w:r>
    </w:p>
    <w:p w14:paraId="7C69F30D" w14:textId="77777777" w:rsidR="00A94923" w:rsidRPr="004E7695" w:rsidRDefault="00A94923" w:rsidP="00A94923"/>
    <w:p w14:paraId="079E2E3D" w14:textId="77777777" w:rsidR="00A94923" w:rsidRPr="004E7695" w:rsidRDefault="00A94923" w:rsidP="00A94923">
      <w:pPr>
        <w:rPr>
          <w:b/>
        </w:rPr>
      </w:pPr>
      <w:r w:rsidRPr="004E7695">
        <w:rPr>
          <w:b/>
        </w:rPr>
        <w:t>Catchwords:</w:t>
      </w:r>
    </w:p>
    <w:p w14:paraId="5A609F05" w14:textId="77777777" w:rsidR="00A94923" w:rsidRPr="004E7695" w:rsidRDefault="00A94923" w:rsidP="00A94923">
      <w:pPr>
        <w:rPr>
          <w:b/>
        </w:rPr>
      </w:pPr>
    </w:p>
    <w:p w14:paraId="47C159E2" w14:textId="33BD9D9B" w:rsidR="00A94923" w:rsidRPr="00E07744" w:rsidRDefault="00A94923" w:rsidP="00A94923">
      <w:pPr>
        <w:ind w:left="720"/>
      </w:pPr>
      <w:r>
        <w:t>Copyright</w:t>
      </w:r>
      <w:r w:rsidR="00E07744">
        <w:t xml:space="preserve"> </w:t>
      </w:r>
      <w:r w:rsidR="00C87AA7">
        <w:t>–</w:t>
      </w:r>
      <w:r w:rsidR="00985BDB">
        <w:t xml:space="preserve"> Informal oral agreements –</w:t>
      </w:r>
      <w:r w:rsidR="00362F58">
        <w:t xml:space="preserve"> Inferred term – Implied term –</w:t>
      </w:r>
      <w:r>
        <w:t xml:space="preserve"> </w:t>
      </w:r>
      <w:r w:rsidR="00E07744">
        <w:t xml:space="preserve">Where Hardingham professional photographer </w:t>
      </w:r>
      <w:r w:rsidR="00C74165">
        <w:t>and sole director of Real Estate Marketing Australia Pty Ltd (</w:t>
      </w:r>
      <w:r w:rsidR="00A451CA">
        <w:t>"</w:t>
      </w:r>
      <w:r w:rsidR="00C74165">
        <w:t>REMA</w:t>
      </w:r>
      <w:r w:rsidR="00A451CA">
        <w:t>"</w:t>
      </w:r>
      <w:r w:rsidR="00C74165">
        <w:t>) – Where REMA commissioned by agencies</w:t>
      </w:r>
      <w:r w:rsidR="00E07744">
        <w:t xml:space="preserve"> to take photographs and prepare floor plans of properties for use on plat</w:t>
      </w:r>
      <w:r w:rsidR="003C04B5">
        <w:t>forms concerning marketing of properties for sale or lease –</w:t>
      </w:r>
      <w:r w:rsidR="00C74165">
        <w:t xml:space="preserve"> Where retainer of Hardingham and REMA by agencies oral, informal and said nothing of copyright in photographs and floorplans – Where Hardingham entered into </w:t>
      </w:r>
      <w:r w:rsidR="00A451CA">
        <w:t>"</w:t>
      </w:r>
      <w:r w:rsidR="00C74165">
        <w:t>deed of licence</w:t>
      </w:r>
      <w:r w:rsidR="00A451CA">
        <w:t>"</w:t>
      </w:r>
      <w:r w:rsidR="00C74165">
        <w:t xml:space="preserve"> with REMA by which Hardingham granted REMA exclusive licence of copyright subsisting in works originated by him – Where photographs and floor plans provided to each agency were uploaded to </w:t>
      </w:r>
      <w:r w:rsidR="00C97B7C">
        <w:t>appellant's platform</w:t>
      </w:r>
      <w:r w:rsidR="00BB1DBE">
        <w:t xml:space="preserve"> –</w:t>
      </w:r>
      <w:r w:rsidR="00C74165">
        <w:t xml:space="preserve"> </w:t>
      </w:r>
      <w:r w:rsidR="00BB1DBE">
        <w:t xml:space="preserve">Where </w:t>
      </w:r>
      <w:r w:rsidR="00C97B7C">
        <w:t>appellant's terms and conditions</w:t>
      </w:r>
      <w:r w:rsidR="00BB1DBE">
        <w:t xml:space="preserve"> provided that agency granted licence to </w:t>
      </w:r>
      <w:r w:rsidR="00C97B7C">
        <w:t>appellant</w:t>
      </w:r>
      <w:r w:rsidR="00BB1DBE">
        <w:t xml:space="preserve"> to use and adapt content provided by agency – Where s 15 of </w:t>
      </w:r>
      <w:r w:rsidR="00BB1DBE" w:rsidRPr="00BB1DBE">
        <w:rPr>
          <w:i/>
          <w:iCs/>
        </w:rPr>
        <w:t>Copyright Act 1968</w:t>
      </w:r>
      <w:r w:rsidR="00BB1DBE" w:rsidRPr="00BB1DBE">
        <w:t xml:space="preserve"> (Cth)</w:t>
      </w:r>
      <w:r w:rsidR="00BB1DBE">
        <w:t xml:space="preserve"> provided </w:t>
      </w:r>
      <w:r w:rsidR="00A451CA">
        <w:t>"</w:t>
      </w:r>
      <w:r w:rsidR="00BB1DBE" w:rsidRPr="00BB1DBE">
        <w:t>act shall be deemed to have been done with licence of copyright owner if doing of act was authorized by a licence binding copyright owner</w:t>
      </w:r>
      <w:r w:rsidR="00A451CA">
        <w:t>"</w:t>
      </w:r>
      <w:r w:rsidR="00BB1DBE">
        <w:t xml:space="preserve"> – </w:t>
      </w:r>
      <w:r w:rsidR="00C87AA7">
        <w:t xml:space="preserve">Whether, in informal agreement under which owner of copyright in works intends to grant another person licence </w:t>
      </w:r>
      <w:r w:rsidR="00C87AA7">
        <w:lastRenderedPageBreak/>
        <w:t>to use works, including right to grant sub-licence to third party, it is necessary for licensor and licensee to know precise terms of grant by sub-licence</w:t>
      </w:r>
      <w:r w:rsidR="00E07744">
        <w:t xml:space="preserve"> – Whether, for purposes of engaging s 15 of </w:t>
      </w:r>
      <w:r w:rsidR="00E07744">
        <w:rPr>
          <w:i/>
          <w:iCs/>
        </w:rPr>
        <w:t>Copyright A</w:t>
      </w:r>
      <w:r w:rsidR="00BB1DBE">
        <w:rPr>
          <w:i/>
          <w:iCs/>
        </w:rPr>
        <w:t>c</w:t>
      </w:r>
      <w:r w:rsidR="00E07744">
        <w:rPr>
          <w:i/>
          <w:iCs/>
        </w:rPr>
        <w:t>t</w:t>
      </w:r>
      <w:r w:rsidR="00E07744">
        <w:t xml:space="preserve">, it is necessary to show what licence binding on owner allowed, and whether infringer acted consistently with licence. </w:t>
      </w:r>
    </w:p>
    <w:p w14:paraId="5FA20F7D" w14:textId="77777777" w:rsidR="00A94923" w:rsidRPr="004E7695" w:rsidRDefault="00A94923" w:rsidP="00A94923">
      <w:pPr>
        <w:ind w:left="720"/>
      </w:pPr>
    </w:p>
    <w:p w14:paraId="673906D3" w14:textId="06FA199F" w:rsidR="00A94923" w:rsidRDefault="00A94923" w:rsidP="00A94923">
      <w:r w:rsidRPr="004E7695">
        <w:rPr>
          <w:b/>
        </w:rPr>
        <w:t>Appealed from</w:t>
      </w:r>
      <w:r>
        <w:rPr>
          <w:b/>
        </w:rPr>
        <w:t xml:space="preserve"> FCA (FC):</w:t>
      </w:r>
      <w:r>
        <w:t xml:space="preserve"> </w:t>
      </w:r>
      <w:hyperlink r:id="rId78" w:history="1">
        <w:r w:rsidRPr="00C87AA7">
          <w:rPr>
            <w:rStyle w:val="Hyperlink"/>
            <w:rFonts w:cs="Verdana"/>
            <w:noProof w:val="0"/>
          </w:rPr>
          <w:t>[2021] FCAFC 148</w:t>
        </w:r>
      </w:hyperlink>
      <w:r>
        <w:t xml:space="preserve">; </w:t>
      </w:r>
      <w:r w:rsidRPr="00A94923">
        <w:t>(2021) 395 ALR 644</w:t>
      </w:r>
      <w:r>
        <w:t xml:space="preserve">; (2021) </w:t>
      </w:r>
      <w:r w:rsidRPr="00A94923">
        <w:t>162 IPR 1</w:t>
      </w:r>
    </w:p>
    <w:p w14:paraId="11C7B362" w14:textId="77777777" w:rsidR="00A94923" w:rsidRPr="004E7695" w:rsidRDefault="00A94923" w:rsidP="00A94923"/>
    <w:p w14:paraId="35396B34" w14:textId="77777777" w:rsidR="00A94923" w:rsidRDefault="000F3638" w:rsidP="00A94923">
      <w:hyperlink w:anchor="TOP" w:history="1">
        <w:r w:rsidR="00A94923" w:rsidRPr="004E7695">
          <w:rPr>
            <w:rStyle w:val="Hyperlink"/>
            <w:rFonts w:cs="Verdana"/>
            <w:bCs/>
          </w:rPr>
          <w:t>Return to Top</w:t>
        </w:r>
      </w:hyperlink>
    </w:p>
    <w:p w14:paraId="7A51B6FA" w14:textId="77777777" w:rsidR="00C174D5" w:rsidRDefault="00C174D5" w:rsidP="00C174D5">
      <w:pPr>
        <w:pStyle w:val="Divider2"/>
      </w:pPr>
      <w:bookmarkStart w:id="133" w:name="_Hlk112129784"/>
    </w:p>
    <w:bookmarkEnd w:id="133"/>
    <w:p w14:paraId="6290905F" w14:textId="77777777" w:rsidR="00C174D5" w:rsidRPr="00C174D5" w:rsidRDefault="00C174D5" w:rsidP="00C174D5"/>
    <w:p w14:paraId="561AF3C4" w14:textId="70105855" w:rsidR="00BF1AC2" w:rsidRDefault="00BF1AC2" w:rsidP="00BF1AC2">
      <w:pPr>
        <w:pStyle w:val="Heading2"/>
      </w:pPr>
      <w:r>
        <w:t xml:space="preserve">Corporations Law </w:t>
      </w:r>
    </w:p>
    <w:p w14:paraId="630685E3" w14:textId="77777777" w:rsidR="00BF1AC2" w:rsidRDefault="00BF1AC2" w:rsidP="00BF1AC2"/>
    <w:p w14:paraId="0C4B390C" w14:textId="7D085601" w:rsidR="00BF1AC2" w:rsidRPr="00D0009F" w:rsidRDefault="00BF1AC2" w:rsidP="00BF1AC2">
      <w:pPr>
        <w:pStyle w:val="Heading3"/>
      </w:pPr>
      <w:bookmarkStart w:id="134" w:name="_Bryant_&amp;_Ors"/>
      <w:bookmarkEnd w:id="134"/>
      <w:r w:rsidRPr="00BF1AC2">
        <w:t xml:space="preserve">Bryant &amp; Ors as </w:t>
      </w:r>
      <w:r w:rsidR="00564D7A">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3CD84432" w14:textId="123ED2AF" w:rsidR="00BF1AC2" w:rsidRDefault="000F3638" w:rsidP="00BF1AC2">
      <w:hyperlink r:id="rId79" w:history="1">
        <w:r w:rsidR="00C87AA7" w:rsidRPr="00C87AA7">
          <w:rPr>
            <w:rStyle w:val="Hyperlink"/>
            <w:rFonts w:cs="Verdana"/>
            <w:b/>
            <w:noProof w:val="0"/>
          </w:rPr>
          <w:t>A10/2022</w:t>
        </w:r>
      </w:hyperlink>
      <w:hyperlink r:id="rId80" w:history="1"/>
      <w:r w:rsidR="00BF1AC2" w:rsidRPr="00D0009F">
        <w:rPr>
          <w:b/>
        </w:rPr>
        <w:t>:</w:t>
      </w:r>
      <w:r w:rsidR="00BF1AC2" w:rsidRPr="00D0009F">
        <w:t xml:space="preserve"> </w:t>
      </w:r>
      <w:hyperlink r:id="rId81" w:history="1">
        <w:r w:rsidR="00B82068" w:rsidRPr="00B82068">
          <w:rPr>
            <w:rStyle w:val="Hyperlink"/>
            <w:rFonts w:cs="Verdana"/>
            <w:noProof w:val="0"/>
          </w:rPr>
          <w:t xml:space="preserve">[2022] </w:t>
        </w:r>
        <w:proofErr w:type="spellStart"/>
        <w:r w:rsidR="00B82068" w:rsidRPr="00B82068">
          <w:rPr>
            <w:rStyle w:val="Hyperlink"/>
            <w:rFonts w:cs="Verdana"/>
            <w:noProof w:val="0"/>
          </w:rPr>
          <w:t>HCATrans</w:t>
        </w:r>
        <w:proofErr w:type="spellEnd"/>
        <w:r w:rsidR="00B82068" w:rsidRPr="00B82068">
          <w:rPr>
            <w:rStyle w:val="Hyperlink"/>
            <w:rFonts w:cs="Verdana"/>
            <w:noProof w:val="0"/>
          </w:rPr>
          <w:t xml:space="preserve"> 42</w:t>
        </w:r>
      </w:hyperlink>
    </w:p>
    <w:p w14:paraId="4FBD0CE7" w14:textId="77777777" w:rsidR="00BF1AC2" w:rsidRDefault="00BF1AC2" w:rsidP="00BF1AC2"/>
    <w:p w14:paraId="22A4D27C" w14:textId="0102877B" w:rsidR="00BF1AC2" w:rsidRPr="00D43080" w:rsidRDefault="00BF1AC2" w:rsidP="00BF1AC2">
      <w:r w:rsidRPr="004E7695">
        <w:rPr>
          <w:b/>
        </w:rPr>
        <w:t xml:space="preserve">Date </w:t>
      </w:r>
      <w:r>
        <w:rPr>
          <w:b/>
        </w:rPr>
        <w:t>heard</w:t>
      </w:r>
      <w:r w:rsidRPr="004E7695">
        <w:rPr>
          <w:b/>
        </w:rPr>
        <w:t>:</w:t>
      </w:r>
      <w:r w:rsidRPr="00FC0B58">
        <w:t xml:space="preserve"> </w:t>
      </w:r>
      <w:r>
        <w:t xml:space="preserve">18 March 2022 – </w:t>
      </w:r>
      <w:r>
        <w:rPr>
          <w:i/>
        </w:rPr>
        <w:t>Special leave granted</w:t>
      </w:r>
    </w:p>
    <w:p w14:paraId="282BAD59" w14:textId="77777777" w:rsidR="00BF1AC2" w:rsidRPr="004E7695" w:rsidRDefault="00BF1AC2" w:rsidP="00BF1AC2"/>
    <w:p w14:paraId="2EA6020E" w14:textId="77777777" w:rsidR="00BF1AC2" w:rsidRPr="004E7695" w:rsidRDefault="00BF1AC2" w:rsidP="00BF1AC2">
      <w:pPr>
        <w:rPr>
          <w:b/>
        </w:rPr>
      </w:pPr>
      <w:r w:rsidRPr="004E7695">
        <w:rPr>
          <w:b/>
        </w:rPr>
        <w:t>Catchwords:</w:t>
      </w:r>
    </w:p>
    <w:p w14:paraId="31A99AF2" w14:textId="77777777" w:rsidR="00BF1AC2" w:rsidRPr="004E7695" w:rsidRDefault="00BF1AC2" w:rsidP="00BF1AC2">
      <w:pPr>
        <w:rPr>
          <w:b/>
        </w:rPr>
      </w:pPr>
    </w:p>
    <w:p w14:paraId="52A9F0CF" w14:textId="68677389" w:rsidR="00BF1AC2" w:rsidRPr="00CB6C33" w:rsidRDefault="00BF1AC2" w:rsidP="00BF1AC2">
      <w:pPr>
        <w:ind w:left="720"/>
      </w:pPr>
      <w:r w:rsidRPr="00954485">
        <w:t xml:space="preserve">Corporations law </w:t>
      </w:r>
      <w:r w:rsidR="009C3ECC" w:rsidRPr="00954485">
        <w:t>–</w:t>
      </w:r>
      <w:r w:rsidRPr="00954485">
        <w:t xml:space="preserve"> </w:t>
      </w:r>
      <w:r w:rsidR="009C3ECC" w:rsidRPr="00954485">
        <w:t xml:space="preserve">Voidable transactions – Unfair preferences – </w:t>
      </w:r>
      <w:r w:rsidR="00A451CA">
        <w:t>"</w:t>
      </w:r>
      <w:r w:rsidR="0036014B" w:rsidRPr="00954485">
        <w:t>Peak indebtedness</w:t>
      </w:r>
      <w:r w:rsidR="00A451CA">
        <w:t>"</w:t>
      </w:r>
      <w:r w:rsidR="0036014B" w:rsidRPr="00954485">
        <w:t xml:space="preserve"> rule – </w:t>
      </w:r>
      <w:r w:rsidR="009C3ECC" w:rsidRPr="00954485">
        <w:t xml:space="preserve">Interpretation of s 588FA of </w:t>
      </w:r>
      <w:r w:rsidR="009C3ECC" w:rsidRPr="00954485">
        <w:rPr>
          <w:i/>
          <w:iCs/>
        </w:rPr>
        <w:t>Corporations Act 2001</w:t>
      </w:r>
      <w:r w:rsidR="009C3ECC" w:rsidRPr="00954485">
        <w:t xml:space="preserve"> (Cth) </w:t>
      </w:r>
      <w:r w:rsidR="0093744B" w:rsidRPr="00954485">
        <w:t>–</w:t>
      </w:r>
      <w:r w:rsidR="00D81E5F" w:rsidRPr="00954485">
        <w:t xml:space="preserve"> </w:t>
      </w:r>
      <w:r w:rsidR="0093744B" w:rsidRPr="00954485">
        <w:t>Where, pursuant to s 588FA(1), transaction an unfair preference given by company to creditor if company and creditor are parties to transaction and, as a result of transaction, creditor receives more than creditor would have were creditor to prove for debt in winding up –</w:t>
      </w:r>
      <w:r w:rsidR="00D81E5F" w:rsidRPr="00954485">
        <w:t xml:space="preserve"> Where s 588FA(3)(c) provided s 588FA(1) applies to all transactions forming part of relationship as if single transaction</w:t>
      </w:r>
      <w:r w:rsidR="006173C5">
        <w:t xml:space="preserve"> where, relevantly, transaction an integral part of a continuing business relationship</w:t>
      </w:r>
      <w:r w:rsidR="00D81E5F" w:rsidRPr="00954485">
        <w:t xml:space="preserve"> – </w:t>
      </w:r>
      <w:r w:rsidR="00486FF6" w:rsidRPr="00954485">
        <w:t xml:space="preserve">Where Full Court set aside primary judge's finding that liquidators entitled to choose point of peak indebtedness during statutory period in endeavouring to show, from that point, preferential payment under s 588FA(1) </w:t>
      </w:r>
      <w:r w:rsidR="00954485" w:rsidRPr="00954485">
        <w:t>– Whether, by enacting s 588FA(3)(c), Parliament intended to</w:t>
      </w:r>
      <w:r w:rsidR="00954485">
        <w:t xml:space="preserve"> abrogate liquidator's right to choose any point during statutory period, including point of peak indebtedness, to show point from which preferential payment </w:t>
      </w:r>
      <w:r w:rsidR="00620212">
        <w:t xml:space="preserve">under s 588FA(1) </w:t>
      </w:r>
      <w:r w:rsidR="00954485">
        <w:t xml:space="preserve">– Proper point for single transaction under s 588FA(3)(c) – Whether continuing business relationship will cease if operative and mutual purpose of inducing further support is subordinated to predominant purpose of recovering past indebtedness. </w:t>
      </w:r>
    </w:p>
    <w:p w14:paraId="5C880632" w14:textId="77777777" w:rsidR="00BF1AC2" w:rsidRPr="004E7695" w:rsidRDefault="00BF1AC2" w:rsidP="00BF1AC2">
      <w:pPr>
        <w:ind w:left="720"/>
      </w:pPr>
    </w:p>
    <w:p w14:paraId="75C90A18" w14:textId="49BEE2D1" w:rsidR="003C498B" w:rsidRDefault="00BF1AC2" w:rsidP="00BF1AC2">
      <w:pPr>
        <w:rPr>
          <w:bCs/>
        </w:rPr>
      </w:pPr>
      <w:r w:rsidRPr="004E7695">
        <w:rPr>
          <w:b/>
        </w:rPr>
        <w:t>Appealed from</w:t>
      </w:r>
      <w:r>
        <w:rPr>
          <w:b/>
        </w:rPr>
        <w:t xml:space="preserve"> FCA (FC):</w:t>
      </w:r>
      <w:r>
        <w:rPr>
          <w:bCs/>
        </w:rPr>
        <w:t xml:space="preserve"> </w:t>
      </w:r>
      <w:hyperlink r:id="rId82" w:history="1">
        <w:r w:rsidR="00564D7A" w:rsidRPr="009C3ECC">
          <w:rPr>
            <w:rStyle w:val="Hyperlink"/>
            <w:rFonts w:cs="Verdana"/>
            <w:bCs/>
            <w:noProof w:val="0"/>
          </w:rPr>
          <w:t>[2021] FCAFC 64</w:t>
        </w:r>
      </w:hyperlink>
      <w:r w:rsidR="00564D7A">
        <w:rPr>
          <w:bCs/>
        </w:rPr>
        <w:t>;</w:t>
      </w:r>
      <w:r w:rsidR="00784DCA">
        <w:rPr>
          <w:bCs/>
        </w:rPr>
        <w:t xml:space="preserve"> </w:t>
      </w:r>
      <w:r w:rsidR="00564D7A" w:rsidRPr="00564D7A">
        <w:rPr>
          <w:bCs/>
        </w:rPr>
        <w:t>(2021) 284 FCR 590</w:t>
      </w:r>
      <w:r w:rsidR="0005192C">
        <w:rPr>
          <w:bCs/>
        </w:rPr>
        <w:t xml:space="preserve">; </w:t>
      </w:r>
      <w:r w:rsidR="0005192C" w:rsidRPr="0005192C">
        <w:rPr>
          <w:bCs/>
        </w:rPr>
        <w:t>(2021) 152 ACSR 361</w:t>
      </w:r>
    </w:p>
    <w:p w14:paraId="7C1B1226" w14:textId="77777777" w:rsidR="007777BA" w:rsidRDefault="007777BA" w:rsidP="00BF1AC2">
      <w:pPr>
        <w:rPr>
          <w:b/>
          <w:bCs/>
        </w:rPr>
      </w:pPr>
    </w:p>
    <w:p w14:paraId="69629390" w14:textId="7F65B699" w:rsidR="00BF1AC2" w:rsidRPr="00BF1AC2" w:rsidRDefault="003C498B" w:rsidP="00BF1AC2">
      <w:pPr>
        <w:rPr>
          <w:bCs/>
        </w:rPr>
      </w:pPr>
      <w:r w:rsidRPr="003C498B">
        <w:rPr>
          <w:b/>
          <w:bCs/>
        </w:rPr>
        <w:t>Appealed from FCA (FC):</w:t>
      </w:r>
      <w:r w:rsidRPr="003C498B">
        <w:t xml:space="preserve"> </w:t>
      </w:r>
      <w:hyperlink r:id="rId83" w:history="1">
        <w:r w:rsidR="00713AE3" w:rsidRPr="00784DCA">
          <w:rPr>
            <w:rStyle w:val="Hyperlink"/>
            <w:rFonts w:cs="Verdana"/>
            <w:bCs/>
            <w:noProof w:val="0"/>
          </w:rPr>
          <w:t>[2021] FCAFC 111</w:t>
        </w:r>
      </w:hyperlink>
    </w:p>
    <w:p w14:paraId="05C3EEA2" w14:textId="77777777" w:rsidR="00BF1AC2" w:rsidRPr="004E7695" w:rsidRDefault="00BF1AC2" w:rsidP="00BF1AC2"/>
    <w:p w14:paraId="3AA4CD9C" w14:textId="2B6A2733" w:rsidR="00BF1AC2" w:rsidRDefault="000F3638" w:rsidP="00BF1AC2">
      <w:pPr>
        <w:rPr>
          <w:rStyle w:val="Hyperlink"/>
          <w:rFonts w:cs="Verdana"/>
          <w:bCs/>
        </w:rPr>
      </w:pPr>
      <w:hyperlink w:anchor="TOP" w:history="1">
        <w:r w:rsidR="00BF1AC2" w:rsidRPr="004E7695">
          <w:rPr>
            <w:rStyle w:val="Hyperlink"/>
            <w:rFonts w:cs="Verdana"/>
            <w:bCs/>
          </w:rPr>
          <w:t>Return to Top</w:t>
        </w:r>
      </w:hyperlink>
    </w:p>
    <w:p w14:paraId="226E8C39" w14:textId="77777777" w:rsidR="00D41AD4" w:rsidRDefault="00D41AD4" w:rsidP="00D41AD4">
      <w:pPr>
        <w:pStyle w:val="Divider1"/>
        <w:rPr>
          <w:rStyle w:val="Hyperlink"/>
          <w:rFonts w:cs="Verdana"/>
          <w:bCs/>
        </w:rPr>
      </w:pPr>
    </w:p>
    <w:p w14:paraId="5547BCEA" w14:textId="3C27369F" w:rsidR="00D41AD4" w:rsidRDefault="00D41AD4" w:rsidP="00BF1AC2">
      <w:pPr>
        <w:rPr>
          <w:rStyle w:val="Hyperlink"/>
          <w:rFonts w:cs="Verdana"/>
          <w:bCs/>
        </w:rPr>
      </w:pPr>
    </w:p>
    <w:p w14:paraId="106C6B1B" w14:textId="42435576" w:rsidR="00D41AD4" w:rsidRDefault="00D41AD4" w:rsidP="00461267">
      <w:pPr>
        <w:pStyle w:val="Heading3"/>
        <w:rPr>
          <w:bCs w:val="0"/>
          <w:i w:val="0"/>
        </w:rPr>
      </w:pPr>
      <w:bookmarkStart w:id="135" w:name="_Metal_Manufacturers_Pty"/>
      <w:bookmarkEnd w:id="135"/>
      <w:r w:rsidRPr="00D41AD4">
        <w:t>Metal Manufacturers</w:t>
      </w:r>
      <w:r>
        <w:t xml:space="preserve"> </w:t>
      </w:r>
      <w:r w:rsidRPr="00D41AD4">
        <w:t>Pty Limited</w:t>
      </w:r>
      <w:r>
        <w:t xml:space="preserve"> v </w:t>
      </w:r>
      <w:r w:rsidRPr="00D41AD4">
        <w:t>Gavin Morton as Liquidator of</w:t>
      </w:r>
      <w:r w:rsidR="00461267">
        <w:t xml:space="preserve"> </w:t>
      </w:r>
      <w:r w:rsidRPr="00D41AD4">
        <w:t>MJ Woodman Electrical</w:t>
      </w:r>
      <w:r>
        <w:t xml:space="preserve"> </w:t>
      </w:r>
      <w:r w:rsidRPr="00D41AD4">
        <w:t>Contractors Pty Ltd (in</w:t>
      </w:r>
      <w:r>
        <w:t xml:space="preserve"> </w:t>
      </w:r>
      <w:r w:rsidR="00C2424D">
        <w:t>L</w:t>
      </w:r>
      <w:r w:rsidRPr="00D41AD4">
        <w:t>iquidation) &amp; Anor</w:t>
      </w:r>
    </w:p>
    <w:p w14:paraId="613C4F2E" w14:textId="5BA60E4E" w:rsidR="00D41AD4" w:rsidRDefault="000F3638" w:rsidP="00D41AD4">
      <w:hyperlink r:id="rId84" w:history="1">
        <w:r w:rsidR="00D41AD4" w:rsidRPr="00744391">
          <w:rPr>
            <w:rStyle w:val="Hyperlink"/>
            <w:rFonts w:cs="Verdana"/>
            <w:b/>
            <w:bCs/>
            <w:noProof w:val="0"/>
          </w:rPr>
          <w:t>B</w:t>
        </w:r>
        <w:r w:rsidR="00744391" w:rsidRPr="00744391">
          <w:rPr>
            <w:rStyle w:val="Hyperlink"/>
            <w:rFonts w:cs="Verdana"/>
            <w:b/>
            <w:bCs/>
            <w:noProof w:val="0"/>
          </w:rPr>
          <w:t>19</w:t>
        </w:r>
        <w:r w:rsidR="00D41AD4" w:rsidRPr="00744391">
          <w:rPr>
            <w:rStyle w:val="Hyperlink"/>
            <w:rFonts w:cs="Verdana"/>
            <w:b/>
            <w:bCs/>
            <w:noProof w:val="0"/>
          </w:rPr>
          <w:t>/2022</w:t>
        </w:r>
      </w:hyperlink>
      <w:r w:rsidR="00136F5C">
        <w:rPr>
          <w:b/>
          <w:bCs/>
        </w:rPr>
        <w:t>:</w:t>
      </w:r>
      <w:r w:rsidR="00136F5C">
        <w:t xml:space="preserve"> </w:t>
      </w:r>
      <w:hyperlink r:id="rId85" w:history="1">
        <w:r w:rsidR="00136F5C" w:rsidRPr="00136F5C">
          <w:rPr>
            <w:rStyle w:val="Hyperlink"/>
            <w:rFonts w:cs="Verdana"/>
            <w:noProof w:val="0"/>
          </w:rPr>
          <w:t xml:space="preserve">[2022] </w:t>
        </w:r>
        <w:proofErr w:type="spellStart"/>
        <w:r w:rsidR="00136F5C" w:rsidRPr="00136F5C">
          <w:rPr>
            <w:rStyle w:val="Hyperlink"/>
            <w:rFonts w:cs="Verdana"/>
            <w:noProof w:val="0"/>
          </w:rPr>
          <w:t>HCATrans</w:t>
        </w:r>
        <w:proofErr w:type="spellEnd"/>
        <w:r w:rsidR="00136F5C" w:rsidRPr="00136F5C">
          <w:rPr>
            <w:rStyle w:val="Hyperlink"/>
            <w:rFonts w:cs="Verdana"/>
            <w:noProof w:val="0"/>
          </w:rPr>
          <w:t xml:space="preserve"> 88</w:t>
        </w:r>
      </w:hyperlink>
      <w:r w:rsidR="003409E2">
        <w:t xml:space="preserve"> </w:t>
      </w:r>
    </w:p>
    <w:p w14:paraId="61B672F9" w14:textId="77777777" w:rsidR="00D41AD4" w:rsidRDefault="00D41AD4" w:rsidP="00D41AD4"/>
    <w:p w14:paraId="2BF2AB9E" w14:textId="77777777" w:rsidR="00136F5C" w:rsidRPr="00523623" w:rsidRDefault="00136F5C" w:rsidP="00136F5C">
      <w:r w:rsidRPr="004E7695">
        <w:rPr>
          <w:b/>
        </w:rPr>
        <w:t>Date</w:t>
      </w:r>
      <w:r>
        <w:rPr>
          <w:b/>
        </w:rPr>
        <w:t xml:space="preserve"> determined</w:t>
      </w:r>
      <w:r w:rsidRPr="004E7695">
        <w:rPr>
          <w:b/>
        </w:rPr>
        <w:t xml:space="preserve">: </w:t>
      </w:r>
      <w:r>
        <w:t xml:space="preserve">12 May 2022 – </w:t>
      </w:r>
      <w:r>
        <w:rPr>
          <w:i/>
        </w:rPr>
        <w:t>Special leave granted</w:t>
      </w:r>
    </w:p>
    <w:p w14:paraId="6855A980" w14:textId="77777777" w:rsidR="00D41AD4" w:rsidRPr="004E7695" w:rsidRDefault="00D41AD4" w:rsidP="00D41AD4"/>
    <w:p w14:paraId="39548F35" w14:textId="77777777" w:rsidR="00D41AD4" w:rsidRPr="004E7695" w:rsidRDefault="00D41AD4" w:rsidP="00D41AD4">
      <w:pPr>
        <w:rPr>
          <w:b/>
        </w:rPr>
      </w:pPr>
      <w:r w:rsidRPr="004E7695">
        <w:rPr>
          <w:b/>
        </w:rPr>
        <w:t>Catchwords:</w:t>
      </w:r>
    </w:p>
    <w:p w14:paraId="7C06B9D2" w14:textId="77777777" w:rsidR="00D41AD4" w:rsidRPr="004E7695" w:rsidRDefault="00D41AD4" w:rsidP="00D41AD4">
      <w:pPr>
        <w:rPr>
          <w:b/>
        </w:rPr>
      </w:pPr>
    </w:p>
    <w:p w14:paraId="291397C4" w14:textId="0371F74D" w:rsidR="00D41AD4" w:rsidRPr="00CB6C33" w:rsidRDefault="00D41AD4" w:rsidP="00D41AD4">
      <w:pPr>
        <w:ind w:left="720"/>
      </w:pPr>
      <w:r w:rsidRPr="0048511F">
        <w:t xml:space="preserve">Corporations law – </w:t>
      </w:r>
      <w:r w:rsidR="003409E2" w:rsidRPr="0048511F">
        <w:t xml:space="preserve">Insolvency – Liquidators – Set-off – Unfair preferences – Mutuality – </w:t>
      </w:r>
      <w:r w:rsidR="00FB6116" w:rsidRPr="0048511F">
        <w:t xml:space="preserve">Where </w:t>
      </w:r>
      <w:r w:rsidR="00D92831" w:rsidRPr="0048511F">
        <w:t xml:space="preserve">s 533C(1) of </w:t>
      </w:r>
      <w:r w:rsidR="00D92831" w:rsidRPr="0048511F">
        <w:rPr>
          <w:i/>
          <w:iCs/>
        </w:rPr>
        <w:t xml:space="preserve">Corporations Act 2001 </w:t>
      </w:r>
      <w:r w:rsidR="00D92831" w:rsidRPr="0048511F">
        <w:t>(Cth) provided, relevantly, where mutual credits, mutual debts or other mutual dealings between insolvent company being wound up and person who wants debt or claim admitted against company: (a) account to be taken of what due in respect of mutual dealings; and (b) sum due from one party to be set off against any sum due from other party; and (c) only balance of account admissible to proof against company –</w:t>
      </w:r>
      <w:r w:rsidR="00A20A58" w:rsidRPr="0048511F">
        <w:t xml:space="preserve"> Where ss 588FA, 588FE and 588FF of </w:t>
      </w:r>
      <w:r w:rsidR="00A20A58" w:rsidRPr="0048511F">
        <w:rPr>
          <w:i/>
          <w:iCs/>
        </w:rPr>
        <w:t>Corporations Act</w:t>
      </w:r>
      <w:r w:rsidR="00A20A58" w:rsidRPr="0048511F">
        <w:t xml:space="preserve"> provide for recovery of</w:t>
      </w:r>
      <w:r w:rsidR="00D92831" w:rsidRPr="0048511F">
        <w:t xml:space="preserve"> </w:t>
      </w:r>
      <w:r w:rsidR="00A20A58" w:rsidRPr="0048511F">
        <w:t xml:space="preserve">unfair preferences – Where </w:t>
      </w:r>
      <w:r w:rsidR="00CE25C9" w:rsidRPr="0048511F">
        <w:t>creditor received payments during relation back period of $190,000</w:t>
      </w:r>
      <w:r w:rsidR="00FB6116" w:rsidRPr="0048511F">
        <w:t xml:space="preserve"> – Where</w:t>
      </w:r>
      <w:r w:rsidR="00CE25C9" w:rsidRPr="0048511F">
        <w:t xml:space="preserve"> quantum of creditor’s alleged set-off admitted to be $194,727.23</w:t>
      </w:r>
      <w:r w:rsidR="00CF19F2">
        <w:t xml:space="preserve"> </w:t>
      </w:r>
      <w:r w:rsidR="00D92831" w:rsidRPr="0048511F">
        <w:t xml:space="preserve">– </w:t>
      </w:r>
      <w:r w:rsidR="003409E2" w:rsidRPr="0048511F">
        <w:t xml:space="preserve">Whether statutory set-off under s 553C(1) of </w:t>
      </w:r>
      <w:r w:rsidR="003409E2" w:rsidRPr="0048511F">
        <w:rPr>
          <w:i/>
          <w:iCs/>
        </w:rPr>
        <w:t>Corporations Act</w:t>
      </w:r>
      <w:r w:rsidR="003409E2" w:rsidRPr="0048511F">
        <w:t xml:space="preserve"> available to creditor against liquidator in answer to claim for recovery of unfair preference under </w:t>
      </w:r>
      <w:bookmarkStart w:id="136" w:name="_Hlk103585593"/>
      <w:r w:rsidR="003409E2" w:rsidRPr="0048511F">
        <w:t>ss 588FA, 588FE and 588FF</w:t>
      </w:r>
      <w:r w:rsidR="00CE25C9" w:rsidRPr="0048511F">
        <w:t xml:space="preserve"> of </w:t>
      </w:r>
      <w:r w:rsidR="00CE25C9" w:rsidRPr="0048511F">
        <w:rPr>
          <w:i/>
          <w:iCs/>
        </w:rPr>
        <w:t>Corporations Act</w:t>
      </w:r>
      <w:r w:rsidR="00CE25C9" w:rsidRPr="0048511F">
        <w:t xml:space="preserve"> </w:t>
      </w:r>
      <w:bookmarkEnd w:id="136"/>
      <w:r w:rsidR="00CE25C9" w:rsidRPr="0048511F">
        <w:t>– Proper approach to mutuality in s 533C.</w:t>
      </w:r>
      <w:r w:rsidR="00CE25C9">
        <w:t xml:space="preserve"> </w:t>
      </w:r>
    </w:p>
    <w:p w14:paraId="6FB1F206" w14:textId="77777777" w:rsidR="00D41AD4" w:rsidRPr="004E7695" w:rsidRDefault="00D41AD4" w:rsidP="00D41AD4">
      <w:pPr>
        <w:ind w:left="720"/>
      </w:pPr>
    </w:p>
    <w:p w14:paraId="44692728" w14:textId="68F6B23F" w:rsidR="00D41AD4" w:rsidRDefault="00D41AD4" w:rsidP="003409E2">
      <w:r w:rsidRPr="004E7695">
        <w:rPr>
          <w:b/>
        </w:rPr>
        <w:t>Appealed from</w:t>
      </w:r>
      <w:r>
        <w:rPr>
          <w:b/>
        </w:rPr>
        <w:t xml:space="preserve"> FCA (FC):</w:t>
      </w:r>
      <w:r>
        <w:rPr>
          <w:bCs/>
        </w:rPr>
        <w:t xml:space="preserve"> </w:t>
      </w:r>
      <w:hyperlink r:id="rId86" w:history="1">
        <w:r w:rsidR="003409E2" w:rsidRPr="003409E2">
          <w:rPr>
            <w:rStyle w:val="Hyperlink"/>
            <w:rFonts w:cs="Verdana"/>
            <w:noProof w:val="0"/>
          </w:rPr>
          <w:t>[2021] FCAFC 228</w:t>
        </w:r>
      </w:hyperlink>
      <w:r w:rsidR="009C2FF3" w:rsidRPr="002E2CD9">
        <w:t xml:space="preserve">; </w:t>
      </w:r>
      <w:r w:rsidR="00A93CE1">
        <w:t xml:space="preserve">(2021) 402 ALR 387; (2021) 159 ACSR 115; </w:t>
      </w:r>
      <w:r w:rsidR="009C2FF3" w:rsidRPr="002E2CD9">
        <w:t>(2021) 18 ABC(NS) 257</w:t>
      </w:r>
    </w:p>
    <w:p w14:paraId="496CCCD9" w14:textId="6DFB781F" w:rsidR="002E2CD9" w:rsidRDefault="002E2CD9" w:rsidP="003409E2"/>
    <w:p w14:paraId="633C2E8D" w14:textId="4EA62B6A" w:rsidR="002E2CD9" w:rsidRDefault="002E2CD9" w:rsidP="003409E2">
      <w:r w:rsidRPr="002E2CD9">
        <w:rPr>
          <w:b/>
          <w:bCs/>
        </w:rPr>
        <w:t>Appealed from FCA (FC):</w:t>
      </w:r>
      <w:r w:rsidRPr="002E2CD9">
        <w:t xml:space="preserve"> </w:t>
      </w:r>
      <w:hyperlink r:id="rId87" w:history="1">
        <w:r w:rsidRPr="002E2CD9">
          <w:rPr>
            <w:rStyle w:val="Hyperlink"/>
            <w:rFonts w:cs="Verdana"/>
            <w:noProof w:val="0"/>
          </w:rPr>
          <w:t>[2022] FCAFC 1</w:t>
        </w:r>
      </w:hyperlink>
    </w:p>
    <w:p w14:paraId="370DA967" w14:textId="77777777" w:rsidR="003409E2" w:rsidRPr="004E7695" w:rsidRDefault="003409E2" w:rsidP="003409E2"/>
    <w:p w14:paraId="110FEFAB" w14:textId="77777777" w:rsidR="00D41AD4" w:rsidRPr="004E7695" w:rsidRDefault="000F3638" w:rsidP="00D41AD4">
      <w:hyperlink w:anchor="TOP" w:history="1">
        <w:r w:rsidR="00D41AD4" w:rsidRPr="004E7695">
          <w:rPr>
            <w:rStyle w:val="Hyperlink"/>
            <w:rFonts w:cs="Verdana"/>
            <w:bCs/>
          </w:rPr>
          <w:t>Return to Top</w:t>
        </w:r>
      </w:hyperlink>
    </w:p>
    <w:p w14:paraId="44EAC988" w14:textId="32F84072" w:rsidR="002E6411" w:rsidRDefault="002E6411" w:rsidP="00C97B7C">
      <w:pPr>
        <w:pStyle w:val="Divider2"/>
      </w:pPr>
      <w:bookmarkStart w:id="137" w:name="_Dansie_v_The"/>
      <w:bookmarkStart w:id="138" w:name="_O'Dea_v_The"/>
      <w:bookmarkEnd w:id="137"/>
      <w:bookmarkEnd w:id="138"/>
    </w:p>
    <w:p w14:paraId="717CFBB9" w14:textId="77777777" w:rsidR="00475CAC" w:rsidRPr="00DD7F6B" w:rsidRDefault="00475CAC" w:rsidP="00475CAC">
      <w:bookmarkStart w:id="139" w:name="_TL_v_The"/>
      <w:bookmarkEnd w:id="139"/>
    </w:p>
    <w:p w14:paraId="62D1E02A" w14:textId="77777777" w:rsidR="00475CAC" w:rsidRDefault="00475CAC" w:rsidP="00475CAC">
      <w:pPr>
        <w:pStyle w:val="Heading2"/>
      </w:pPr>
      <w:r>
        <w:t>Courts and Judges</w:t>
      </w:r>
    </w:p>
    <w:p w14:paraId="2891A41E" w14:textId="77777777" w:rsidR="00475CAC" w:rsidRDefault="00475CAC" w:rsidP="00475CAC"/>
    <w:p w14:paraId="7651EC36" w14:textId="77777777" w:rsidR="00475CAC" w:rsidRPr="00D0009F" w:rsidRDefault="00475CAC" w:rsidP="00475CAC">
      <w:pPr>
        <w:pStyle w:val="Heading3"/>
      </w:pPr>
      <w:bookmarkStart w:id="140" w:name="_QYFM_v_Minister"/>
      <w:bookmarkEnd w:id="140"/>
      <w:r>
        <w:t xml:space="preserve">QYFM v Minister for Immigration, Citizenship, Migrant Services and Multicultural Affairs &amp; Anor </w:t>
      </w:r>
    </w:p>
    <w:p w14:paraId="3FDFC13D" w14:textId="750F56CF" w:rsidR="00475CAC" w:rsidRDefault="00475CAC" w:rsidP="00475CAC">
      <w:r w:rsidRPr="003F4BEB">
        <w:rPr>
          <w:b/>
          <w:bCs/>
        </w:rPr>
        <w:t>M84/2021</w:t>
      </w:r>
      <w:hyperlink r:id="rId88" w:history="1"/>
      <w:r w:rsidRPr="003F4BEB">
        <w:rPr>
          <w:b/>
        </w:rPr>
        <w:t>:</w:t>
      </w:r>
      <w:r w:rsidRPr="003F4BEB">
        <w:t xml:space="preserve"> </w:t>
      </w:r>
      <w:hyperlink r:id="rId89"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130</w:t>
        </w:r>
      </w:hyperlink>
    </w:p>
    <w:p w14:paraId="0605111D" w14:textId="77777777" w:rsidR="00475CAC" w:rsidRDefault="00475CAC" w:rsidP="00475CAC"/>
    <w:p w14:paraId="0B6E31BF" w14:textId="77777777" w:rsidR="00475CAC" w:rsidRPr="00D43080" w:rsidRDefault="00475CAC" w:rsidP="00475CAC">
      <w:r w:rsidRPr="004E7695">
        <w:rPr>
          <w:b/>
        </w:rPr>
        <w:t xml:space="preserve">Date </w:t>
      </w:r>
      <w:r>
        <w:rPr>
          <w:b/>
        </w:rPr>
        <w:t>heard</w:t>
      </w:r>
      <w:r w:rsidRPr="004E7695">
        <w:rPr>
          <w:b/>
        </w:rPr>
        <w:t>:</w:t>
      </w:r>
      <w:r w:rsidRPr="00FC0B58">
        <w:t xml:space="preserve"> </w:t>
      </w:r>
      <w:r>
        <w:t xml:space="preserve">12 August 2022 – </w:t>
      </w:r>
      <w:r>
        <w:rPr>
          <w:i/>
        </w:rPr>
        <w:t>Special leave granted</w:t>
      </w:r>
    </w:p>
    <w:p w14:paraId="1D77264F" w14:textId="77777777" w:rsidR="00475CAC" w:rsidRPr="004E7695" w:rsidRDefault="00475CAC" w:rsidP="00475CAC"/>
    <w:p w14:paraId="7F0567D5" w14:textId="77777777" w:rsidR="00475CAC" w:rsidRPr="004E7695" w:rsidRDefault="00475CAC" w:rsidP="00475CAC">
      <w:pPr>
        <w:rPr>
          <w:b/>
        </w:rPr>
      </w:pPr>
      <w:r w:rsidRPr="004E7695">
        <w:rPr>
          <w:b/>
        </w:rPr>
        <w:t>Catchwords:</w:t>
      </w:r>
    </w:p>
    <w:p w14:paraId="0D6D4CFE" w14:textId="77777777" w:rsidR="00475CAC" w:rsidRPr="004E7695" w:rsidRDefault="00475CAC" w:rsidP="00475CAC">
      <w:pPr>
        <w:rPr>
          <w:b/>
        </w:rPr>
      </w:pPr>
    </w:p>
    <w:p w14:paraId="352F746E" w14:textId="35CD58F6" w:rsidR="00475CAC" w:rsidRPr="00253D8A" w:rsidRDefault="00475CAC" w:rsidP="00475CAC">
      <w:pPr>
        <w:ind w:left="720"/>
      </w:pPr>
      <w:r w:rsidRPr="00253D8A">
        <w:t xml:space="preserve">Courts and judges – Bias – Reasonable apprehension of bias – </w:t>
      </w:r>
      <w:r w:rsidR="00DE7089">
        <w:t>Disqualification</w:t>
      </w:r>
      <w:r w:rsidRPr="00253D8A">
        <w:t xml:space="preserve"> – Where, prior to appointment, judge as Commonwealth Director of Public Prosecutions: (a) instituted and carried on </w:t>
      </w:r>
      <w:r w:rsidR="00660236">
        <w:t xml:space="preserve">successful </w:t>
      </w:r>
      <w:r w:rsidRPr="00253D8A">
        <w:t>prosecution of QYFM on indictment</w:t>
      </w:r>
      <w:r w:rsidR="00660236">
        <w:t>,</w:t>
      </w:r>
      <w:r w:rsidRPr="00253D8A">
        <w:t xml:space="preserve"> and (b) appeared to successfully oppose appeal by QYFM against conviction </w:t>
      </w:r>
      <w:r w:rsidRPr="00253D8A">
        <w:lastRenderedPageBreak/>
        <w:t xml:space="preserve">– Where QYFM brought challenge to Minister’s decision not to revoke cancellation of QYFM’s visa – Where application for </w:t>
      </w:r>
      <w:r w:rsidR="00DE7089">
        <w:t>disqualification</w:t>
      </w:r>
      <w:r w:rsidRPr="00253D8A">
        <w:t xml:space="preserve"> brought against judge on basis of apprehended bias – Where judge heard application alone, refused </w:t>
      </w:r>
      <w:r w:rsidR="00DE7089">
        <w:t>to disqualify himself</w:t>
      </w:r>
      <w:r w:rsidRPr="00253D8A">
        <w:t xml:space="preserve"> and sat on Full Court appeal challenging primary judge's decision dismissing application for judicial review of Administrative Appeals Tribunal's decision to affirm cancellation of QYFM's visa – Whether application for </w:t>
      </w:r>
      <w:r w:rsidR="00DE7089">
        <w:t>disqualification</w:t>
      </w:r>
      <w:r w:rsidRPr="00253D8A">
        <w:t xml:space="preserve"> of single member of Full Court on basis of apprehended bias should be decided by single judge alone or by Full Court – Whether judgment of Full Court liable to be set aside if single judge affected by apprehended bias.</w:t>
      </w:r>
    </w:p>
    <w:p w14:paraId="789276BA" w14:textId="77777777" w:rsidR="00475CAC" w:rsidRPr="00253D8A" w:rsidRDefault="00475CAC" w:rsidP="00475CAC">
      <w:pPr>
        <w:ind w:left="720"/>
      </w:pPr>
    </w:p>
    <w:p w14:paraId="25E1A473" w14:textId="3AA1FD88" w:rsidR="00475CAC" w:rsidRDefault="00475CAC" w:rsidP="00475CAC">
      <w:pPr>
        <w:ind w:left="720"/>
      </w:pPr>
      <w:r w:rsidRPr="00253D8A">
        <w:t xml:space="preserve">Constitutional Law – Chapter III – Judicature of the Commonwealth – Impartiality of judiciary – Bias – Reasonable apprehension of bias – Proper </w:t>
      </w:r>
      <w:r w:rsidR="00A27191">
        <w:t>application of</w:t>
      </w:r>
      <w:r w:rsidRPr="00253D8A">
        <w:t xml:space="preserve"> test in </w:t>
      </w:r>
      <w:r w:rsidRPr="00253D8A">
        <w:rPr>
          <w:i/>
          <w:iCs/>
        </w:rPr>
        <w:t>Ebner v Official Trustee in Bankruptcy</w:t>
      </w:r>
      <w:r w:rsidRPr="00253D8A">
        <w:t xml:space="preserve"> (2000) 205 CLR 337.</w:t>
      </w:r>
    </w:p>
    <w:p w14:paraId="5C6E9263" w14:textId="77777777" w:rsidR="00475CAC" w:rsidRPr="004E7695" w:rsidRDefault="00475CAC" w:rsidP="00475CAC">
      <w:pPr>
        <w:ind w:left="720"/>
      </w:pPr>
    </w:p>
    <w:p w14:paraId="18F2CC2A" w14:textId="77777777" w:rsidR="00475CAC" w:rsidRDefault="00475CAC" w:rsidP="00475CAC">
      <w:r w:rsidRPr="004E7695">
        <w:rPr>
          <w:b/>
        </w:rPr>
        <w:t>Appealed from</w:t>
      </w:r>
      <w:r>
        <w:rPr>
          <w:b/>
        </w:rPr>
        <w:t xml:space="preserve"> FCA (FC):</w:t>
      </w:r>
      <w:r>
        <w:rPr>
          <w:bCs/>
        </w:rPr>
        <w:t xml:space="preserve"> </w:t>
      </w:r>
      <w:hyperlink r:id="rId90" w:history="1">
        <w:r w:rsidRPr="00C174D5">
          <w:rPr>
            <w:rStyle w:val="Hyperlink"/>
            <w:rFonts w:cs="Verdana"/>
            <w:bCs/>
            <w:noProof w:val="0"/>
          </w:rPr>
          <w:t>[2021] FCAFC 166</w:t>
        </w:r>
      </w:hyperlink>
      <w:r>
        <w:rPr>
          <w:bCs/>
        </w:rPr>
        <w:t xml:space="preserve">; (2021) </w:t>
      </w:r>
      <w:r w:rsidRPr="00C174D5">
        <w:rPr>
          <w:bCs/>
        </w:rPr>
        <w:t>287 FCR 328</w:t>
      </w:r>
    </w:p>
    <w:p w14:paraId="358F25D3" w14:textId="77777777" w:rsidR="00475CAC" w:rsidRPr="004E7695" w:rsidRDefault="00475CAC" w:rsidP="00475CAC"/>
    <w:p w14:paraId="4FAADCD4" w14:textId="77777777" w:rsidR="00475CAC" w:rsidRDefault="000F3638" w:rsidP="00475CAC">
      <w:pPr>
        <w:rPr>
          <w:rStyle w:val="Hyperlink"/>
          <w:rFonts w:cs="Verdana"/>
          <w:bCs/>
        </w:rPr>
      </w:pPr>
      <w:hyperlink w:anchor="TOP" w:history="1">
        <w:r w:rsidR="00475CAC" w:rsidRPr="004E7695">
          <w:rPr>
            <w:rStyle w:val="Hyperlink"/>
            <w:rFonts w:cs="Verdana"/>
            <w:bCs/>
          </w:rPr>
          <w:t>Return to Top</w:t>
        </w:r>
      </w:hyperlink>
    </w:p>
    <w:p w14:paraId="332E07C2" w14:textId="03F65EF2" w:rsidR="00F563C3" w:rsidRDefault="00F563C3" w:rsidP="00475CAC">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41" w:name="_Re:_Director_of"/>
      <w:bookmarkStart w:id="142" w:name="_The_Queen_v"/>
      <w:bookmarkStart w:id="143" w:name="_Toc270610025"/>
      <w:bookmarkStart w:id="144" w:name="Cases_Not_Proceeding"/>
      <w:bookmarkStart w:id="145" w:name="_Ref474759876"/>
      <w:bookmarkEnd w:id="124"/>
      <w:bookmarkEnd w:id="130"/>
      <w:bookmarkEnd w:id="141"/>
      <w:bookmarkEnd w:id="142"/>
      <w:r>
        <w:t xml:space="preserve">Criminal Law </w:t>
      </w:r>
    </w:p>
    <w:p w14:paraId="139F84C3" w14:textId="5E5B0BB8" w:rsidR="00DF0641" w:rsidRDefault="00DF0641" w:rsidP="00DF0641"/>
    <w:p w14:paraId="4FF60DFA" w14:textId="2D3D4D9B" w:rsidR="009D51B4" w:rsidRDefault="009D51B4" w:rsidP="00DF0641">
      <w:pPr>
        <w:pStyle w:val="Heading3"/>
      </w:pPr>
      <w:bookmarkStart w:id="146" w:name="_Awad_v_The"/>
      <w:bookmarkEnd w:id="146"/>
      <w:proofErr w:type="spellStart"/>
      <w:r>
        <w:t>Awad</w:t>
      </w:r>
      <w:proofErr w:type="spellEnd"/>
      <w:r>
        <w:t xml:space="preserve"> v The Queen; </w:t>
      </w:r>
      <w:proofErr w:type="spellStart"/>
      <w:r w:rsidRPr="009D51B4">
        <w:t>Tambakakis</w:t>
      </w:r>
      <w:proofErr w:type="spellEnd"/>
      <w:r>
        <w:t xml:space="preserve"> v The Queen </w:t>
      </w:r>
    </w:p>
    <w:p w14:paraId="764662F5" w14:textId="61F219BF" w:rsidR="009D51B4" w:rsidRDefault="000F3638" w:rsidP="009D51B4">
      <w:hyperlink r:id="rId91" w:history="1">
        <w:r w:rsidR="00861200" w:rsidRPr="00B7679D">
          <w:rPr>
            <w:rStyle w:val="Hyperlink"/>
            <w:rFonts w:cs="Verdana"/>
            <w:b/>
            <w:bCs/>
            <w:noProof w:val="0"/>
          </w:rPr>
          <w:t>M</w:t>
        </w:r>
        <w:r w:rsidR="00B7679D" w:rsidRPr="00B7679D">
          <w:rPr>
            <w:rStyle w:val="Hyperlink"/>
            <w:rFonts w:cs="Verdana"/>
            <w:b/>
            <w:bCs/>
            <w:noProof w:val="0"/>
          </w:rPr>
          <w:t>44</w:t>
        </w:r>
        <w:r w:rsidR="00861200" w:rsidRPr="00B7679D">
          <w:rPr>
            <w:rStyle w:val="Hyperlink"/>
            <w:rFonts w:cs="Verdana"/>
            <w:b/>
            <w:bCs/>
            <w:noProof w:val="0"/>
          </w:rPr>
          <w:t>/</w:t>
        </w:r>
        <w:r w:rsidR="00B7679D" w:rsidRPr="00B7679D">
          <w:rPr>
            <w:rStyle w:val="Hyperlink"/>
            <w:rFonts w:cs="Verdana"/>
            <w:b/>
            <w:bCs/>
            <w:noProof w:val="0"/>
          </w:rPr>
          <w:t>2022</w:t>
        </w:r>
        <w:r w:rsidR="00861200" w:rsidRPr="00B7679D">
          <w:rPr>
            <w:rStyle w:val="Hyperlink"/>
            <w:rFonts w:cs="Verdana"/>
            <w:b/>
            <w:bCs/>
            <w:noProof w:val="0"/>
          </w:rPr>
          <w:t>; M</w:t>
        </w:r>
        <w:r w:rsidR="00B7679D" w:rsidRPr="00B7679D">
          <w:rPr>
            <w:rStyle w:val="Hyperlink"/>
            <w:rFonts w:cs="Verdana"/>
            <w:b/>
            <w:bCs/>
            <w:noProof w:val="0"/>
          </w:rPr>
          <w:t>45</w:t>
        </w:r>
        <w:r w:rsidR="00861200" w:rsidRPr="00B7679D">
          <w:rPr>
            <w:rStyle w:val="Hyperlink"/>
            <w:rFonts w:cs="Verdana"/>
            <w:b/>
            <w:bCs/>
            <w:noProof w:val="0"/>
          </w:rPr>
          <w:t>/202</w:t>
        </w:r>
        <w:r w:rsidR="00B7679D" w:rsidRPr="00B7679D">
          <w:rPr>
            <w:rStyle w:val="Hyperlink"/>
            <w:rFonts w:cs="Verdana"/>
            <w:b/>
            <w:bCs/>
            <w:noProof w:val="0"/>
          </w:rPr>
          <w:t>2</w:t>
        </w:r>
      </w:hyperlink>
      <w:r w:rsidR="00861200" w:rsidRPr="00861200">
        <w:rPr>
          <w:b/>
          <w:bCs/>
        </w:rPr>
        <w:t xml:space="preserve">: </w:t>
      </w:r>
      <w:hyperlink r:id="rId92" w:history="1">
        <w:r w:rsidR="00A440F5" w:rsidRPr="00A440F5">
          <w:rPr>
            <w:rStyle w:val="Hyperlink"/>
            <w:rFonts w:cs="Verdana"/>
            <w:noProof w:val="0"/>
          </w:rPr>
          <w:t xml:space="preserve">[2022] </w:t>
        </w:r>
        <w:proofErr w:type="spellStart"/>
        <w:r w:rsidR="00A440F5" w:rsidRPr="00A440F5">
          <w:rPr>
            <w:rStyle w:val="Hyperlink"/>
            <w:rFonts w:cs="Verdana"/>
            <w:noProof w:val="0"/>
          </w:rPr>
          <w:t>HCATrans</w:t>
        </w:r>
        <w:proofErr w:type="spellEnd"/>
        <w:r w:rsidR="00A440F5" w:rsidRPr="00A440F5">
          <w:rPr>
            <w:rStyle w:val="Hyperlink"/>
            <w:rFonts w:cs="Verdana"/>
            <w:noProof w:val="0"/>
          </w:rPr>
          <w:t xml:space="preserve"> 115</w:t>
        </w:r>
      </w:hyperlink>
    </w:p>
    <w:p w14:paraId="23D70B20" w14:textId="0BD29FF9" w:rsidR="009D51B4" w:rsidRDefault="009D51B4" w:rsidP="009D51B4"/>
    <w:p w14:paraId="5E83C105" w14:textId="0119F375" w:rsidR="00861200" w:rsidRPr="00B46C46" w:rsidRDefault="00861200" w:rsidP="00861200">
      <w:pPr>
        <w:rPr>
          <w:i/>
          <w:iCs/>
        </w:rPr>
      </w:pPr>
      <w:r>
        <w:rPr>
          <w:b/>
          <w:bCs/>
        </w:rPr>
        <w:t>Date heard:</w:t>
      </w:r>
      <w:r>
        <w:t xml:space="preserve"> 17 June 2022 – </w:t>
      </w:r>
      <w:r>
        <w:rPr>
          <w:i/>
          <w:iCs/>
        </w:rPr>
        <w:t xml:space="preserve">Special leave granted on limited grounds </w:t>
      </w:r>
    </w:p>
    <w:p w14:paraId="7F90B35B" w14:textId="77777777" w:rsidR="00861200" w:rsidRDefault="00861200" w:rsidP="00861200"/>
    <w:p w14:paraId="6D3DA264" w14:textId="77777777" w:rsidR="00861200" w:rsidRDefault="00861200" w:rsidP="00861200">
      <w:r>
        <w:rPr>
          <w:b/>
          <w:bCs/>
        </w:rPr>
        <w:t>Catchwords:</w:t>
      </w:r>
    </w:p>
    <w:p w14:paraId="708BCBBD" w14:textId="77777777" w:rsidR="00861200" w:rsidRDefault="00861200" w:rsidP="00861200"/>
    <w:p w14:paraId="3E1403C7" w14:textId="6F0F7399" w:rsidR="00861200" w:rsidRPr="00004043" w:rsidRDefault="00861200" w:rsidP="00861200">
      <w:pPr>
        <w:pStyle w:val="Catchwords0"/>
      </w:pPr>
      <w:r>
        <w:t xml:space="preserve">Criminal law – </w:t>
      </w:r>
      <w:r w:rsidR="000476BC">
        <w:t xml:space="preserve">Jury directions – </w:t>
      </w:r>
      <w:r w:rsidR="000476BC">
        <w:rPr>
          <w:i/>
          <w:iCs/>
        </w:rPr>
        <w:t xml:space="preserve">Jury Directions Act 2015 </w:t>
      </w:r>
      <w:r w:rsidR="000476BC">
        <w:t xml:space="preserve">(Vic) – Where s 44J(b) of </w:t>
      </w:r>
      <w:r w:rsidR="000476BC">
        <w:rPr>
          <w:i/>
          <w:iCs/>
        </w:rPr>
        <w:t>Jury Directions Act</w:t>
      </w:r>
      <w:r w:rsidR="000476BC">
        <w:t xml:space="preserve"> prohibited trial judge from directing jury that accused gave evidence because: (</w:t>
      </w:r>
      <w:proofErr w:type="spellStart"/>
      <w:r w:rsidR="000476BC">
        <w:t>i</w:t>
      </w:r>
      <w:proofErr w:type="spellEnd"/>
      <w:r w:rsidR="000476BC">
        <w:t xml:space="preserve">) guilty person who gives evidence more likely to be believed; and (ii) innocent person can do nothing more than give evidence – Where </w:t>
      </w:r>
      <w:r w:rsidR="006662ED">
        <w:t xml:space="preserve">appellants arraigned before jury panel, both pleading not guilty to one charge alleging commission of offence of attempt to possess commercial quantity of unlawfully imported border controlled drug </w:t>
      </w:r>
      <w:r w:rsidR="00B814F0">
        <w:t xml:space="preserve">– Where Crown's case was appellants in joint possession of drugs for period – Where </w:t>
      </w:r>
      <w:proofErr w:type="spellStart"/>
      <w:r w:rsidR="00B814F0" w:rsidRPr="00B814F0">
        <w:t>Tambakakis</w:t>
      </w:r>
      <w:proofErr w:type="spellEnd"/>
      <w:r w:rsidR="00B814F0">
        <w:t xml:space="preserve"> gave sworn evidence – Where trial judge</w:t>
      </w:r>
      <w:r w:rsidR="00594A23">
        <w:t xml:space="preserve"> gave jury direction regarding </w:t>
      </w:r>
      <w:proofErr w:type="spellStart"/>
      <w:r w:rsidR="00594A23" w:rsidRPr="00594A23">
        <w:t>Tambakakis</w:t>
      </w:r>
      <w:proofErr w:type="spellEnd"/>
      <w:r w:rsidR="00594A23">
        <w:t>' evidence</w:t>
      </w:r>
      <w:r w:rsidR="00594A23" w:rsidRPr="00594A23">
        <w:t xml:space="preserve"> </w:t>
      </w:r>
      <w:r w:rsidR="00594A23">
        <w:t>that Court of Appeal held contrary</w:t>
      </w:r>
      <w:r w:rsidR="00B814F0">
        <w:t xml:space="preserve"> </w:t>
      </w:r>
      <w:r w:rsidR="00594A23">
        <w:t xml:space="preserve">to s 44J of </w:t>
      </w:r>
      <w:r w:rsidR="00594A23">
        <w:rPr>
          <w:i/>
          <w:iCs/>
        </w:rPr>
        <w:t>Jury Directions Act</w:t>
      </w:r>
      <w:r w:rsidR="00594A23" w:rsidRPr="00B814F0">
        <w:t xml:space="preserve"> </w:t>
      </w:r>
      <w:r w:rsidR="00594A23">
        <w:t xml:space="preserve">– Where </w:t>
      </w:r>
      <w:r w:rsidR="00004043">
        <w:t>Court of Appeal held</w:t>
      </w:r>
      <w:r w:rsidR="00594A23">
        <w:t>, despite direction contrary</w:t>
      </w:r>
      <w:r w:rsidR="00004043">
        <w:t xml:space="preserve"> </w:t>
      </w:r>
      <w:r w:rsidR="00594A23">
        <w:t xml:space="preserve">to </w:t>
      </w:r>
      <w:r w:rsidR="00004043">
        <w:t xml:space="preserve">s 44J of </w:t>
      </w:r>
      <w:r w:rsidR="00004043">
        <w:rPr>
          <w:i/>
          <w:iCs/>
        </w:rPr>
        <w:t>Jury Directions Act</w:t>
      </w:r>
      <w:r w:rsidR="00004043">
        <w:t xml:space="preserve">, direction did not result in substantial miscarriage of justice </w:t>
      </w:r>
      <w:r w:rsidR="0072711B">
        <w:t xml:space="preserve">for </w:t>
      </w:r>
      <w:r w:rsidR="00004043">
        <w:t xml:space="preserve">either appellant – Whether, given impugned direction prohibited by s 44J of </w:t>
      </w:r>
      <w:r w:rsidR="00004043">
        <w:rPr>
          <w:i/>
          <w:iCs/>
        </w:rPr>
        <w:t>Jury Directions Act</w:t>
      </w:r>
      <w:r w:rsidR="00004043">
        <w:t xml:space="preserve">, substantial miscarriage of justice occurred. </w:t>
      </w:r>
    </w:p>
    <w:p w14:paraId="20E1B559" w14:textId="77777777" w:rsidR="00861200" w:rsidRDefault="00861200" w:rsidP="00861200"/>
    <w:p w14:paraId="5FC8FAE3" w14:textId="20534D9E" w:rsidR="00861200" w:rsidRPr="00476537" w:rsidRDefault="00861200" w:rsidP="00861200">
      <w:pPr>
        <w:rPr>
          <w:bCs/>
        </w:rPr>
      </w:pPr>
      <w:r w:rsidRPr="004E7695">
        <w:rPr>
          <w:b/>
        </w:rPr>
        <w:t>Appealed from</w:t>
      </w:r>
      <w:r>
        <w:rPr>
          <w:b/>
        </w:rPr>
        <w:t xml:space="preserve"> V</w:t>
      </w:r>
      <w:r w:rsidR="00B21FE7">
        <w:rPr>
          <w:b/>
        </w:rPr>
        <w:t>SC</w:t>
      </w:r>
      <w:r>
        <w:rPr>
          <w:b/>
        </w:rPr>
        <w:t xml:space="preserve"> </w:t>
      </w:r>
      <w:r w:rsidR="00B21FE7">
        <w:rPr>
          <w:b/>
        </w:rPr>
        <w:t>(CA)</w:t>
      </w:r>
      <w:r w:rsidR="000476BC">
        <w:rPr>
          <w:b/>
        </w:rPr>
        <w:t>:</w:t>
      </w:r>
      <w:r>
        <w:rPr>
          <w:b/>
        </w:rPr>
        <w:t xml:space="preserve"> </w:t>
      </w:r>
      <w:hyperlink r:id="rId93" w:history="1">
        <w:r w:rsidRPr="000476BC">
          <w:rPr>
            <w:rStyle w:val="Hyperlink"/>
            <w:rFonts w:cs="Verdana"/>
            <w:bCs/>
            <w:noProof w:val="0"/>
          </w:rPr>
          <w:t>[2021] VSCA 285</w:t>
        </w:r>
      </w:hyperlink>
      <w:r w:rsidR="00476537">
        <w:t xml:space="preserve">; </w:t>
      </w:r>
      <w:r w:rsidR="00476537" w:rsidRPr="00476537">
        <w:t>(2021) 291 A Crim R 30</w:t>
      </w:r>
      <w:r w:rsidR="00476537">
        <w:t>3</w:t>
      </w:r>
    </w:p>
    <w:p w14:paraId="1D346342" w14:textId="77777777" w:rsidR="00476537" w:rsidRPr="00E064DF" w:rsidRDefault="00476537" w:rsidP="00861200"/>
    <w:p w14:paraId="3C4DB699" w14:textId="77777777" w:rsidR="00861200" w:rsidRPr="002314BE" w:rsidRDefault="000F3638" w:rsidP="00861200">
      <w:hyperlink w:anchor="TOP" w:history="1">
        <w:r w:rsidR="00861200" w:rsidRPr="004E7695">
          <w:rPr>
            <w:rStyle w:val="Hyperlink"/>
            <w:rFonts w:cs="Verdana"/>
            <w:bCs/>
          </w:rPr>
          <w:t>Return to Top</w:t>
        </w:r>
      </w:hyperlink>
    </w:p>
    <w:p w14:paraId="6934F5F4" w14:textId="2FCC7F90" w:rsidR="00861200" w:rsidRDefault="00861200" w:rsidP="00861200">
      <w:pPr>
        <w:pStyle w:val="Divider1"/>
      </w:pPr>
    </w:p>
    <w:p w14:paraId="53467CB2" w14:textId="77777777" w:rsidR="00861200" w:rsidRPr="00861200" w:rsidRDefault="00861200" w:rsidP="00861200"/>
    <w:p w14:paraId="1C4534D9" w14:textId="28012BB2" w:rsidR="009D51B4" w:rsidRDefault="009D51B4" w:rsidP="00DF0641">
      <w:pPr>
        <w:pStyle w:val="Heading3"/>
      </w:pPr>
      <w:bookmarkStart w:id="147" w:name="_BA_v_The"/>
      <w:bookmarkEnd w:id="147"/>
      <w:r>
        <w:t xml:space="preserve">BA v The Queen </w:t>
      </w:r>
    </w:p>
    <w:bookmarkStart w:id="148" w:name="_Hlk106375104"/>
    <w:p w14:paraId="47A745DD" w14:textId="0893EBB0" w:rsidR="009D51B4" w:rsidRDefault="00B7679D" w:rsidP="009D51B4">
      <w:r>
        <w:rPr>
          <w:b/>
          <w:bCs/>
        </w:rPr>
        <w:fldChar w:fldCharType="begin"/>
      </w:r>
      <w:r>
        <w:rPr>
          <w:b/>
          <w:bCs/>
        </w:rPr>
        <w:instrText xml:space="preserve"> HYPERLINK "https://www.hcourt.gov.au/cases/case_s101-2022" </w:instrText>
      </w:r>
      <w:r>
        <w:rPr>
          <w:b/>
          <w:bCs/>
        </w:rPr>
        <w:fldChar w:fldCharType="separate"/>
      </w:r>
      <w:r w:rsidRPr="00B7679D">
        <w:rPr>
          <w:rStyle w:val="Hyperlink"/>
          <w:rFonts w:cs="Verdana"/>
          <w:b/>
          <w:bCs/>
          <w:noProof w:val="0"/>
        </w:rPr>
        <w:t>S101</w:t>
      </w:r>
      <w:r w:rsidR="00861200" w:rsidRPr="00B7679D">
        <w:rPr>
          <w:rStyle w:val="Hyperlink"/>
          <w:rFonts w:cs="Verdana"/>
          <w:b/>
          <w:bCs/>
          <w:noProof w:val="0"/>
        </w:rPr>
        <w:t>/202</w:t>
      </w:r>
      <w:r w:rsidRPr="00B7679D">
        <w:rPr>
          <w:rStyle w:val="Hyperlink"/>
          <w:rFonts w:cs="Verdana"/>
          <w:b/>
          <w:bCs/>
          <w:noProof w:val="0"/>
        </w:rPr>
        <w:t>2</w:t>
      </w:r>
      <w:r>
        <w:rPr>
          <w:b/>
          <w:bCs/>
        </w:rPr>
        <w:fldChar w:fldCharType="end"/>
      </w:r>
      <w:r w:rsidR="00861200" w:rsidRPr="00861200">
        <w:rPr>
          <w:b/>
          <w:bCs/>
        </w:rPr>
        <w:t>:</w:t>
      </w:r>
      <w:r w:rsidR="00861200">
        <w:rPr>
          <w:b/>
          <w:bCs/>
        </w:rPr>
        <w:t xml:space="preserve"> </w:t>
      </w:r>
      <w:hyperlink r:id="rId94" w:history="1">
        <w:r w:rsidR="00D661F3" w:rsidRPr="00D661F3">
          <w:rPr>
            <w:rStyle w:val="Hyperlink"/>
            <w:rFonts w:cs="Verdana"/>
            <w:noProof w:val="0"/>
          </w:rPr>
          <w:t xml:space="preserve">[2022] </w:t>
        </w:r>
        <w:proofErr w:type="spellStart"/>
        <w:r w:rsidR="00D661F3" w:rsidRPr="00D661F3">
          <w:rPr>
            <w:rStyle w:val="Hyperlink"/>
            <w:rFonts w:cs="Verdana"/>
            <w:noProof w:val="0"/>
          </w:rPr>
          <w:t>HCATrans</w:t>
        </w:r>
        <w:proofErr w:type="spellEnd"/>
        <w:r w:rsidR="00D661F3" w:rsidRPr="00D661F3">
          <w:rPr>
            <w:rStyle w:val="Hyperlink"/>
            <w:rFonts w:cs="Verdana"/>
            <w:noProof w:val="0"/>
          </w:rPr>
          <w:t xml:space="preserve"> 111</w:t>
        </w:r>
      </w:hyperlink>
    </w:p>
    <w:bookmarkEnd w:id="148"/>
    <w:p w14:paraId="6AC6146E" w14:textId="77777777" w:rsidR="009D51B4" w:rsidRDefault="009D51B4" w:rsidP="009D51B4"/>
    <w:p w14:paraId="57764E42" w14:textId="77777777" w:rsidR="00861200" w:rsidRPr="00B46C46" w:rsidRDefault="00861200" w:rsidP="00861200">
      <w:pPr>
        <w:rPr>
          <w:i/>
          <w:iCs/>
        </w:rPr>
      </w:pPr>
      <w:r>
        <w:rPr>
          <w:b/>
          <w:bCs/>
        </w:rPr>
        <w:t>Date heard:</w:t>
      </w:r>
      <w:r>
        <w:t xml:space="preserve"> 17 June 2022 – </w:t>
      </w:r>
      <w:r>
        <w:rPr>
          <w:i/>
          <w:iCs/>
        </w:rPr>
        <w:t>Special leave granted</w:t>
      </w:r>
    </w:p>
    <w:p w14:paraId="70A50E0B" w14:textId="77777777" w:rsidR="00861200" w:rsidRDefault="00861200" w:rsidP="00861200"/>
    <w:p w14:paraId="0718B48F" w14:textId="77777777" w:rsidR="00861200" w:rsidRDefault="00861200" w:rsidP="00861200">
      <w:r>
        <w:rPr>
          <w:b/>
          <w:bCs/>
        </w:rPr>
        <w:t>Catchwords:</w:t>
      </w:r>
    </w:p>
    <w:p w14:paraId="59D38F77" w14:textId="77777777" w:rsidR="00861200" w:rsidRDefault="00861200" w:rsidP="00861200"/>
    <w:p w14:paraId="2433A6F1" w14:textId="5318FAC1" w:rsidR="00861200" w:rsidRPr="00FB1D11" w:rsidRDefault="00861200" w:rsidP="00861200">
      <w:pPr>
        <w:pStyle w:val="Catchwords0"/>
      </w:pPr>
      <w:r>
        <w:t xml:space="preserve">Criminal law – </w:t>
      </w:r>
      <w:r w:rsidR="00004043">
        <w:t xml:space="preserve">Breaking and entering – Legal right to enter – Meaning of "breaks" – Where s 112 of </w:t>
      </w:r>
      <w:r w:rsidR="00004043">
        <w:rPr>
          <w:i/>
          <w:iCs/>
        </w:rPr>
        <w:t xml:space="preserve">Crimes Act 1900 </w:t>
      </w:r>
      <w:r w:rsidR="00004043">
        <w:t>(NSW) provides person who breaks and enters any dwelling-house o</w:t>
      </w:r>
      <w:r w:rsidR="00FB1D11">
        <w:t>r</w:t>
      </w:r>
      <w:r w:rsidR="00004043">
        <w:t xml:space="preserve"> other building and commits any serious indictable offence guilty of offence – Where appellant and complainant resided together in apartment occupied pursuant to residential tenancy w</w:t>
      </w:r>
      <w:r w:rsidR="00FB1D11">
        <w:t>here both named as lessees – Where relationship broke down and appellant moved out taking most of possessions – Where, when appellant remained co</w:t>
      </w:r>
      <w:r w:rsidR="0008312B">
        <w:noBreakHyphen/>
      </w:r>
      <w:r w:rsidR="00FB1D11">
        <w:t xml:space="preserve">tenant, appellant entered apartment by breaking down locked door and assaulted complainant – Where appellant charged with offence against s 112 of </w:t>
      </w:r>
      <w:r w:rsidR="00FB1D11">
        <w:rPr>
          <w:i/>
          <w:iCs/>
        </w:rPr>
        <w:t xml:space="preserve">Crimes Act </w:t>
      </w:r>
      <w:r w:rsidR="00FB1D11">
        <w:t xml:space="preserve">– Whether person with legal right to enter building capable of being guilty of breaking and entering building for purposes of s 112 of </w:t>
      </w:r>
      <w:r w:rsidR="00FB1D11">
        <w:rPr>
          <w:i/>
          <w:iCs/>
        </w:rPr>
        <w:t>Crimes Act</w:t>
      </w:r>
      <w:r w:rsidR="00FB1D11">
        <w:t xml:space="preserve"> – Whether co</w:t>
      </w:r>
      <w:r w:rsidR="0008312B">
        <w:noBreakHyphen/>
      </w:r>
      <w:r w:rsidR="00FB1D11">
        <w:t>tenant can revoke second co-tenant's permission to enter leased dwelling-house with result that, despite enjoying right of entry under lease, second co</w:t>
      </w:r>
      <w:r w:rsidR="0008312B">
        <w:noBreakHyphen/>
      </w:r>
      <w:r w:rsidR="00FB1D11">
        <w:t xml:space="preserve">tenant may be guilty of breaking and entering – Whether permission of occupant without legal entitlement to occupy be determinative of whether person with legal right of immediate possession breaks into building for purposes of s 112 of </w:t>
      </w:r>
      <w:r w:rsidR="00FB1D11">
        <w:rPr>
          <w:i/>
          <w:iCs/>
        </w:rPr>
        <w:t>Crimes Act</w:t>
      </w:r>
      <w:r w:rsidR="00FB1D11">
        <w:t xml:space="preserve">. </w:t>
      </w:r>
    </w:p>
    <w:p w14:paraId="6C9835CD" w14:textId="77777777" w:rsidR="00861200" w:rsidRDefault="00861200" w:rsidP="00861200"/>
    <w:p w14:paraId="2654F9E7" w14:textId="133766F4" w:rsidR="00861200" w:rsidRDefault="00861200" w:rsidP="00861200">
      <w:pPr>
        <w:rPr>
          <w:b/>
        </w:rPr>
      </w:pPr>
      <w:r w:rsidRPr="004E7695">
        <w:rPr>
          <w:b/>
        </w:rPr>
        <w:t>Appealed from</w:t>
      </w:r>
      <w:r w:rsidRPr="00861200">
        <w:rPr>
          <w:b/>
        </w:rPr>
        <w:t xml:space="preserve"> </w:t>
      </w:r>
      <w:r w:rsidRPr="00FB1D11">
        <w:rPr>
          <w:b/>
        </w:rPr>
        <w:t xml:space="preserve">NSW (CCA): </w:t>
      </w:r>
      <w:hyperlink r:id="rId95" w:history="1">
        <w:r w:rsidRPr="00476537">
          <w:rPr>
            <w:rStyle w:val="Hyperlink"/>
            <w:rFonts w:cs="Verdana"/>
            <w:bCs/>
            <w:noProof w:val="0"/>
          </w:rPr>
          <w:t>[2021] NSWCCA 191</w:t>
        </w:r>
      </w:hyperlink>
      <w:r w:rsidR="00476537">
        <w:rPr>
          <w:bCs/>
        </w:rPr>
        <w:t xml:space="preserve">; </w:t>
      </w:r>
      <w:r w:rsidR="00476537" w:rsidRPr="00476537">
        <w:rPr>
          <w:bCs/>
        </w:rPr>
        <w:t>(2021) 105 NSWLR 307</w:t>
      </w:r>
      <w:r w:rsidR="00476537">
        <w:rPr>
          <w:bCs/>
        </w:rPr>
        <w:t xml:space="preserve">; </w:t>
      </w:r>
      <w:r w:rsidR="00476537" w:rsidRPr="00476537">
        <w:rPr>
          <w:bCs/>
        </w:rPr>
        <w:t>(2021) 291 A Crim R 514</w:t>
      </w:r>
    </w:p>
    <w:p w14:paraId="0C62E726" w14:textId="77777777" w:rsidR="00861200" w:rsidRPr="00E064DF" w:rsidRDefault="00861200" w:rsidP="00861200"/>
    <w:p w14:paraId="494A4EEE" w14:textId="77777777" w:rsidR="00861200" w:rsidRPr="002314BE" w:rsidRDefault="000F3638" w:rsidP="00861200">
      <w:hyperlink w:anchor="TOP" w:history="1">
        <w:r w:rsidR="00861200" w:rsidRPr="004E7695">
          <w:rPr>
            <w:rStyle w:val="Hyperlink"/>
            <w:rFonts w:cs="Verdana"/>
            <w:bCs/>
          </w:rPr>
          <w:t>Return to Top</w:t>
        </w:r>
      </w:hyperlink>
    </w:p>
    <w:p w14:paraId="0898C546" w14:textId="42C2EE28" w:rsidR="009D51B4" w:rsidRDefault="009D51B4" w:rsidP="00861200">
      <w:pPr>
        <w:pStyle w:val="Divider1"/>
      </w:pPr>
      <w:bookmarkStart w:id="149" w:name="_Hlk112137340"/>
    </w:p>
    <w:p w14:paraId="4B374B5F" w14:textId="77777777" w:rsidR="00861200" w:rsidRPr="00861200" w:rsidRDefault="00861200" w:rsidP="00861200"/>
    <w:p w14:paraId="65DD6D67" w14:textId="0B938928" w:rsidR="00DF0641" w:rsidRDefault="00DF0641" w:rsidP="00DF0641">
      <w:pPr>
        <w:pStyle w:val="Heading3"/>
      </w:pPr>
      <w:bookmarkStart w:id="150" w:name="_Rigney_v_The"/>
      <w:bookmarkStart w:id="151" w:name="_Mitchell_v_The"/>
      <w:bookmarkEnd w:id="150"/>
      <w:bookmarkEnd w:id="151"/>
      <w:r>
        <w:t xml:space="preserve">Mitchell v The Queen; </w:t>
      </w:r>
      <w:r w:rsidR="00FD450B">
        <w:t xml:space="preserve">Rigney v The Queen; </w:t>
      </w:r>
      <w:r>
        <w:t>Carver v The Queen</w:t>
      </w:r>
      <w:r w:rsidR="00FD450B">
        <w:t xml:space="preserve">; </w:t>
      </w:r>
      <w:proofErr w:type="spellStart"/>
      <w:r w:rsidR="00FD450B">
        <w:t>Tenhoopen</w:t>
      </w:r>
      <w:proofErr w:type="spellEnd"/>
      <w:r w:rsidR="00FD450B">
        <w:t xml:space="preserve"> v The Queen </w:t>
      </w:r>
      <w:r>
        <w:t xml:space="preserve"> </w:t>
      </w:r>
    </w:p>
    <w:p w14:paraId="33490990" w14:textId="1A717EF1" w:rsidR="00DF0641" w:rsidRDefault="000F3638" w:rsidP="00DF0641">
      <w:hyperlink r:id="rId96" w:history="1">
        <w:r w:rsidR="00FD450B" w:rsidRPr="00FD450B">
          <w:rPr>
            <w:rStyle w:val="Hyperlink"/>
            <w:rFonts w:cs="Verdana"/>
            <w:b/>
            <w:bCs/>
            <w:noProof w:val="0"/>
          </w:rPr>
          <w:t>A14/2022; A15/2022; A16/2022, A17/2022</w:t>
        </w:r>
      </w:hyperlink>
      <w:r w:rsidR="00D763B4" w:rsidRPr="00D763B4">
        <w:rPr>
          <w:b/>
          <w:bCs/>
        </w:rPr>
        <w:t>:</w:t>
      </w:r>
      <w:r w:rsidR="00D763B4">
        <w:rPr>
          <w:b/>
          <w:bCs/>
        </w:rPr>
        <w:t xml:space="preserve"> </w:t>
      </w:r>
      <w:hyperlink r:id="rId97" w:history="1">
        <w:r w:rsidR="00A440F5" w:rsidRPr="00A440F5">
          <w:rPr>
            <w:rStyle w:val="Hyperlink"/>
            <w:rFonts w:cs="Verdana"/>
            <w:noProof w:val="0"/>
          </w:rPr>
          <w:t xml:space="preserve">[2022] </w:t>
        </w:r>
        <w:proofErr w:type="spellStart"/>
        <w:r w:rsidR="00A440F5" w:rsidRPr="00A440F5">
          <w:rPr>
            <w:rStyle w:val="Hyperlink"/>
            <w:rFonts w:cs="Verdana"/>
            <w:noProof w:val="0"/>
          </w:rPr>
          <w:t>HCATrans</w:t>
        </w:r>
        <w:proofErr w:type="spellEnd"/>
        <w:r w:rsidR="00A440F5" w:rsidRPr="00A440F5">
          <w:rPr>
            <w:rStyle w:val="Hyperlink"/>
            <w:rFonts w:cs="Verdana"/>
            <w:noProof w:val="0"/>
          </w:rPr>
          <w:t xml:space="preserve"> 112</w:t>
        </w:r>
      </w:hyperlink>
    </w:p>
    <w:p w14:paraId="4600F11D" w14:textId="2D2EBA21" w:rsidR="00D763B4" w:rsidRDefault="00D763B4" w:rsidP="00DF0641"/>
    <w:p w14:paraId="4C2DDE35" w14:textId="6D115324" w:rsidR="008E7EB3" w:rsidRDefault="00D763B4" w:rsidP="00DF0641">
      <w:pPr>
        <w:rPr>
          <w:i/>
          <w:iCs/>
        </w:rPr>
      </w:pPr>
      <w:r>
        <w:rPr>
          <w:b/>
          <w:bCs/>
        </w:rPr>
        <w:t xml:space="preserve">Date </w:t>
      </w:r>
      <w:r w:rsidR="008E7EB3">
        <w:rPr>
          <w:b/>
          <w:bCs/>
        </w:rPr>
        <w:t>heard</w:t>
      </w:r>
      <w:r>
        <w:rPr>
          <w:b/>
          <w:bCs/>
        </w:rPr>
        <w:t>:</w:t>
      </w:r>
      <w:r>
        <w:t xml:space="preserve"> 17 June 2022</w:t>
      </w:r>
      <w:r w:rsidR="00FD450B">
        <w:t xml:space="preserve"> (</w:t>
      </w:r>
      <w:r w:rsidR="00FD450B" w:rsidRPr="00FD450B">
        <w:t>A14/2022; A15/2022; A16/2022</w:t>
      </w:r>
      <w:r w:rsidR="00FD450B">
        <w:t xml:space="preserve">) </w:t>
      </w:r>
      <w:r w:rsidR="008E7EB3">
        <w:t xml:space="preserve">– </w:t>
      </w:r>
      <w:r w:rsidR="008E7EB3">
        <w:rPr>
          <w:i/>
          <w:iCs/>
        </w:rPr>
        <w:t xml:space="preserve">Special leave granted </w:t>
      </w:r>
    </w:p>
    <w:p w14:paraId="56675A5D" w14:textId="77777777" w:rsidR="008E7EB3" w:rsidRDefault="008E7EB3" w:rsidP="00DF0641">
      <w:pPr>
        <w:rPr>
          <w:i/>
          <w:iCs/>
        </w:rPr>
      </w:pPr>
    </w:p>
    <w:p w14:paraId="74A76099" w14:textId="368FA47A" w:rsidR="00D763B4" w:rsidRPr="008E7EB3" w:rsidRDefault="008E7EB3" w:rsidP="00DF0641">
      <w:r>
        <w:rPr>
          <w:b/>
          <w:bCs/>
        </w:rPr>
        <w:t xml:space="preserve">Date determined: </w:t>
      </w:r>
      <w:r w:rsidR="00FD450B">
        <w:t>18 August 2022 (A17/2022)</w:t>
      </w:r>
      <w:r w:rsidR="00B46C46">
        <w:t xml:space="preserve"> </w:t>
      </w:r>
      <w:r>
        <w:t xml:space="preserve">– </w:t>
      </w:r>
      <w:r>
        <w:rPr>
          <w:i/>
          <w:iCs/>
        </w:rPr>
        <w:t>Special leave application referred to the Full Court</w:t>
      </w:r>
      <w:r>
        <w:t xml:space="preserve"> </w:t>
      </w:r>
    </w:p>
    <w:p w14:paraId="38C2E117" w14:textId="2742024E" w:rsidR="00D763B4" w:rsidRDefault="00D763B4" w:rsidP="00DF0641"/>
    <w:p w14:paraId="2A5F20BC" w14:textId="5BE1D48C" w:rsidR="00D763B4" w:rsidRDefault="00D763B4" w:rsidP="00DF0641">
      <w:r>
        <w:rPr>
          <w:b/>
          <w:bCs/>
        </w:rPr>
        <w:t>Catchwords:</w:t>
      </w:r>
    </w:p>
    <w:p w14:paraId="01A3D781" w14:textId="058F1EC6" w:rsidR="00D763B4" w:rsidRDefault="00D763B4" w:rsidP="00DF0641"/>
    <w:p w14:paraId="5E9C3A2A" w14:textId="3154F876" w:rsidR="00D763B4" w:rsidRDefault="00D763B4" w:rsidP="003F1A9D">
      <w:pPr>
        <w:pStyle w:val="Catchwords0"/>
      </w:pPr>
      <w:r>
        <w:t>Criminal law – Ancillary liability – Extended joint criminal enterprise – Statutory charges – Where appellants</w:t>
      </w:r>
      <w:r w:rsidR="00363ADD">
        <w:t xml:space="preserve"> and others</w:t>
      </w:r>
      <w:r>
        <w:t xml:space="preserve"> </w:t>
      </w:r>
      <w:r w:rsidR="00363ADD">
        <w:t xml:space="preserve">entered into agreement to steal amount of cannabis from grow-house and, in </w:t>
      </w:r>
      <w:r w:rsidR="00363ADD">
        <w:lastRenderedPageBreak/>
        <w:t xml:space="preserve">furtherance of agreement, one or more of group members inflicted one or more blows to head of person guarding grow-house who died of injuries – Where appellants </w:t>
      </w:r>
      <w:r>
        <w:t xml:space="preserve">charged </w:t>
      </w:r>
      <w:r w:rsidR="0008312B">
        <w:t>for contravening s 12A</w:t>
      </w:r>
      <w:r w:rsidR="00835C80">
        <w:t xml:space="preserve"> </w:t>
      </w:r>
      <w:r w:rsidR="00835C80">
        <w:rPr>
          <w:i/>
          <w:iCs/>
        </w:rPr>
        <w:t xml:space="preserve">Criminal Law Consolidation Act 1935 </w:t>
      </w:r>
      <w:r w:rsidR="00835C80">
        <w:t>(SA)</w:t>
      </w:r>
      <w:r w:rsidR="0025457B">
        <w:t xml:space="preserve"> ("CCA")</w:t>
      </w:r>
      <w:r w:rsidR="00363ADD">
        <w:t xml:space="preserve"> and convicted of murder</w:t>
      </w:r>
      <w:r w:rsidR="0025457B">
        <w:t xml:space="preserve"> – Where s 12A of CCA provided person who commits intentional act of violence while acting in course or furtherance of major indictable offence punishable by imprisonment for 10 years or more, and thus causes death of another, guilty of murder</w:t>
      </w:r>
      <w:r w:rsidR="00835C80">
        <w:t xml:space="preserve"> – Whether </w:t>
      </w:r>
      <w:r w:rsidR="0025457B">
        <w:t>principles of</w:t>
      </w:r>
      <w:r w:rsidR="00835C80">
        <w:t xml:space="preserve"> joint criminal enterprise </w:t>
      </w:r>
      <w:r w:rsidR="0025457B">
        <w:t>apply</w:t>
      </w:r>
      <w:r w:rsidR="00835C80">
        <w:t xml:space="preserve"> to statutory charge</w:t>
      </w:r>
      <w:r w:rsidR="0025457B">
        <w:t xml:space="preserve"> under s 12A of CCA</w:t>
      </w:r>
      <w:r w:rsidR="00835C80">
        <w:t xml:space="preserve"> – Whether</w:t>
      </w:r>
      <w:r w:rsidR="0025457B">
        <w:t xml:space="preserve">, for secondary participant to be guilty of common law murder according to principles of extended joint criminal enterprise, secondary participant must contemplate that co-participant might do act that might cause death of person – </w:t>
      </w:r>
      <w:r w:rsidR="0025457B" w:rsidRPr="0025457B">
        <w:t xml:space="preserve">Whether, for secondary participant to be guilty of </w:t>
      </w:r>
      <w:r w:rsidR="0025457B">
        <w:t>offence against s 12A of CCA</w:t>
      </w:r>
      <w:r w:rsidR="0025457B" w:rsidRPr="0025457B">
        <w:t xml:space="preserve">, secondary participant must contemplate that co-participant </w:t>
      </w:r>
      <w:r w:rsidR="00314208">
        <w:t>might commit intentional act of violence causing</w:t>
      </w:r>
      <w:r w:rsidR="0025457B" w:rsidRPr="0025457B">
        <w:t xml:space="preserve"> death of person </w:t>
      </w:r>
      <w:r w:rsidR="003F1A9D">
        <w:t>– Whether</w:t>
      </w:r>
      <w:r w:rsidR="001426C0">
        <w:t>,</w:t>
      </w:r>
      <w:r w:rsidR="003F1A9D">
        <w:t xml:space="preserve"> for secondary participant </w:t>
      </w:r>
      <w:r w:rsidR="003F1A9D" w:rsidRPr="003F1A9D">
        <w:t>to be guilty of offence against s 12A of CCA</w:t>
      </w:r>
      <w:r w:rsidR="001426C0">
        <w:t>,</w:t>
      </w:r>
      <w:r w:rsidR="003F1A9D" w:rsidRPr="003F1A9D">
        <w:t xml:space="preserve"> </w:t>
      </w:r>
      <w:r w:rsidR="001426C0">
        <w:t xml:space="preserve">sufficient </w:t>
      </w:r>
      <w:r w:rsidR="003F1A9D">
        <w:t>that secondary participant contemplates any act of violence</w:t>
      </w:r>
      <w:r w:rsidR="001426C0">
        <w:t xml:space="preserve"> rather than contemplat</w:t>
      </w:r>
      <w:r w:rsidR="0008312B">
        <w:t>es</w:t>
      </w:r>
      <w:r w:rsidR="001426C0">
        <w:t xml:space="preserve"> possibility of death caused by violence</w:t>
      </w:r>
      <w:r w:rsidR="005C3B30">
        <w:t xml:space="preserve">. </w:t>
      </w:r>
    </w:p>
    <w:p w14:paraId="25C6CAEB" w14:textId="56635FCD" w:rsidR="005C3B30" w:rsidRDefault="005C3B30" w:rsidP="005C3B30"/>
    <w:p w14:paraId="3D5F31C9" w14:textId="34FF6C52" w:rsidR="005C3B30" w:rsidRPr="00240665" w:rsidRDefault="005C3B30" w:rsidP="005C3B30">
      <w:pPr>
        <w:rPr>
          <w:bCs/>
        </w:rPr>
      </w:pPr>
      <w:r w:rsidRPr="004E7695">
        <w:rPr>
          <w:b/>
        </w:rPr>
        <w:t>Appealed from</w:t>
      </w:r>
      <w:r>
        <w:rPr>
          <w:b/>
        </w:rPr>
        <w:t xml:space="preserve"> SASC (CCA):</w:t>
      </w:r>
      <w:r w:rsidR="00240665">
        <w:rPr>
          <w:b/>
        </w:rPr>
        <w:t xml:space="preserve"> </w:t>
      </w:r>
      <w:hyperlink r:id="rId98" w:history="1">
        <w:r w:rsidR="00240665" w:rsidRPr="00240665">
          <w:rPr>
            <w:rStyle w:val="Hyperlink"/>
            <w:rFonts w:cs="Verdana"/>
            <w:bCs/>
            <w:noProof w:val="0"/>
          </w:rPr>
          <w:t>[2021] SASCA 74</w:t>
        </w:r>
      </w:hyperlink>
      <w:r w:rsidR="00240665">
        <w:rPr>
          <w:bCs/>
        </w:rPr>
        <w:t xml:space="preserve">; </w:t>
      </w:r>
      <w:r w:rsidR="00240665" w:rsidRPr="00240665">
        <w:rPr>
          <w:bCs/>
        </w:rPr>
        <w:t>(2021) 290 A Crim R 384</w:t>
      </w:r>
      <w:r w:rsidR="00240665">
        <w:rPr>
          <w:bCs/>
        </w:rPr>
        <w:t xml:space="preserve"> </w:t>
      </w:r>
    </w:p>
    <w:p w14:paraId="5031D4CD" w14:textId="77777777" w:rsidR="00861200" w:rsidRPr="00E064DF" w:rsidRDefault="00861200" w:rsidP="00861200"/>
    <w:p w14:paraId="22BDA0A7" w14:textId="77777777" w:rsidR="00861200" w:rsidRPr="002314BE" w:rsidRDefault="000F3638" w:rsidP="00861200">
      <w:hyperlink w:anchor="TOP" w:history="1">
        <w:r w:rsidR="00861200" w:rsidRPr="004E7695">
          <w:rPr>
            <w:rStyle w:val="Hyperlink"/>
            <w:rFonts w:cs="Verdana"/>
            <w:bCs/>
          </w:rPr>
          <w:t>Return to Top</w:t>
        </w:r>
      </w:hyperlink>
    </w:p>
    <w:bookmarkEnd w:id="149"/>
    <w:p w14:paraId="5646348E" w14:textId="77777777" w:rsidR="00DF0641" w:rsidRDefault="00DF0641" w:rsidP="00DF0641">
      <w:pPr>
        <w:pStyle w:val="Divider2"/>
      </w:pPr>
    </w:p>
    <w:p w14:paraId="537389D1" w14:textId="77777777" w:rsidR="003D6097" w:rsidRDefault="003D6097" w:rsidP="003D6097">
      <w:bookmarkStart w:id="152" w:name="_Hlk98497339"/>
      <w:bookmarkStart w:id="153" w:name="_Hlk98497328"/>
    </w:p>
    <w:p w14:paraId="61D3B989" w14:textId="11AD54FB" w:rsidR="003D6097" w:rsidRPr="00523623" w:rsidRDefault="003D6097" w:rsidP="003D6097">
      <w:pPr>
        <w:pStyle w:val="Heading2"/>
      </w:pPr>
      <w:r>
        <w:t>Intellectual Property</w:t>
      </w:r>
    </w:p>
    <w:p w14:paraId="155E5DF4" w14:textId="6047246B" w:rsidR="004D2A3C" w:rsidRDefault="004D2A3C" w:rsidP="004D2A3C"/>
    <w:p w14:paraId="3939A36D" w14:textId="04C57963" w:rsidR="004D2A3C" w:rsidRPr="004D2A3C" w:rsidRDefault="004D2A3C" w:rsidP="00461267">
      <w:pPr>
        <w:pStyle w:val="Heading3"/>
      </w:pPr>
      <w:bookmarkStart w:id="154" w:name="_Self_Care_IP"/>
      <w:bookmarkEnd w:id="154"/>
      <w:proofErr w:type="spellStart"/>
      <w:r>
        <w:t>Self Care</w:t>
      </w:r>
      <w:proofErr w:type="spellEnd"/>
      <w:r>
        <w:t xml:space="preserve"> IP Holdings Pty Ltd &amp; Anor v Allergan Australia Pty Ltd &amp; Anor</w:t>
      </w:r>
      <w:r w:rsidR="002E2CD9">
        <w:t xml:space="preserve">; </w:t>
      </w:r>
      <w:r w:rsidR="002E2CD9" w:rsidRPr="002E2CD9">
        <w:t>Self Care IP Holdings Pty Ltd &amp; Anor v Allergan Australia Pty Ltd &amp; Anor</w:t>
      </w:r>
    </w:p>
    <w:p w14:paraId="60C2B9F2" w14:textId="1754DE07" w:rsidR="004D2A3C" w:rsidRPr="00CF19F2" w:rsidRDefault="000F3638" w:rsidP="004D2A3C">
      <w:hyperlink r:id="rId99" w:history="1">
        <w:r w:rsidR="005A29F0" w:rsidRPr="005A29F0">
          <w:rPr>
            <w:rStyle w:val="Hyperlink"/>
            <w:rFonts w:cs="Verdana"/>
            <w:b/>
            <w:bCs/>
            <w:noProof w:val="0"/>
          </w:rPr>
          <w:t>S79/2022; S80/2022</w:t>
        </w:r>
      </w:hyperlink>
      <w:r w:rsidR="004D2A3C" w:rsidRPr="004D2A3C">
        <w:rPr>
          <w:b/>
          <w:bCs/>
        </w:rPr>
        <w:t>:</w:t>
      </w:r>
      <w:r w:rsidR="00CF19F2">
        <w:rPr>
          <w:b/>
          <w:bCs/>
        </w:rPr>
        <w:t xml:space="preserve"> </w:t>
      </w:r>
      <w:hyperlink r:id="rId100" w:history="1">
        <w:r w:rsidR="00CF19F2" w:rsidRPr="00CF19F2">
          <w:rPr>
            <w:rStyle w:val="Hyperlink"/>
            <w:rFonts w:cs="Verdana"/>
            <w:noProof w:val="0"/>
          </w:rPr>
          <w:t xml:space="preserve">[2022] </w:t>
        </w:r>
        <w:proofErr w:type="spellStart"/>
        <w:r w:rsidR="00CF19F2" w:rsidRPr="00CF19F2">
          <w:rPr>
            <w:rStyle w:val="Hyperlink"/>
            <w:rFonts w:cs="Verdana"/>
            <w:noProof w:val="0"/>
          </w:rPr>
          <w:t>HCATrans</w:t>
        </w:r>
        <w:proofErr w:type="spellEnd"/>
        <w:r w:rsidR="00CF19F2" w:rsidRPr="00CF19F2">
          <w:rPr>
            <w:rStyle w:val="Hyperlink"/>
            <w:rFonts w:cs="Verdana"/>
            <w:noProof w:val="0"/>
          </w:rPr>
          <w:t xml:space="preserve"> 94</w:t>
        </w:r>
      </w:hyperlink>
    </w:p>
    <w:p w14:paraId="2FB8A0FA" w14:textId="77777777" w:rsidR="004D2A3C" w:rsidRPr="004D2A3C" w:rsidRDefault="004D2A3C" w:rsidP="004D2A3C"/>
    <w:p w14:paraId="296469D5" w14:textId="199E26E7" w:rsidR="004D2A3C" w:rsidRPr="004D2A3C" w:rsidRDefault="004D2A3C" w:rsidP="004D2A3C">
      <w:r w:rsidRPr="004D2A3C">
        <w:rPr>
          <w:b/>
        </w:rPr>
        <w:t xml:space="preserve">Date </w:t>
      </w:r>
      <w:r>
        <w:rPr>
          <w:b/>
        </w:rPr>
        <w:t>heard</w:t>
      </w:r>
      <w:r w:rsidRPr="004D2A3C">
        <w:rPr>
          <w:b/>
        </w:rPr>
        <w:t xml:space="preserve">: </w:t>
      </w:r>
      <w:r>
        <w:t>13 May</w:t>
      </w:r>
      <w:r w:rsidRPr="004D2A3C">
        <w:t xml:space="preserve"> 2022 – </w:t>
      </w:r>
      <w:r w:rsidRPr="004D2A3C">
        <w:rPr>
          <w:i/>
        </w:rPr>
        <w:t>Special leave granted</w:t>
      </w:r>
    </w:p>
    <w:p w14:paraId="0C3CDFF5" w14:textId="77777777" w:rsidR="004D2A3C" w:rsidRPr="004D2A3C" w:rsidRDefault="004D2A3C" w:rsidP="004D2A3C"/>
    <w:p w14:paraId="166869BC" w14:textId="77777777" w:rsidR="004D2A3C" w:rsidRPr="004D2A3C" w:rsidRDefault="004D2A3C" w:rsidP="004D2A3C">
      <w:pPr>
        <w:rPr>
          <w:b/>
        </w:rPr>
      </w:pPr>
      <w:r w:rsidRPr="004D2A3C">
        <w:rPr>
          <w:b/>
        </w:rPr>
        <w:t>Catchwords:</w:t>
      </w:r>
    </w:p>
    <w:p w14:paraId="3EAD1FD2" w14:textId="77777777" w:rsidR="004D2A3C" w:rsidRPr="004D2A3C" w:rsidRDefault="004D2A3C" w:rsidP="004D2A3C"/>
    <w:p w14:paraId="4805B3E5" w14:textId="48F8B564" w:rsidR="004F255D" w:rsidRPr="00480A73" w:rsidRDefault="004D2A3C" w:rsidP="004D2A3C">
      <w:pPr>
        <w:ind w:left="720"/>
      </w:pPr>
      <w:r w:rsidRPr="004D2A3C">
        <w:t xml:space="preserve">Intellectual property – </w:t>
      </w:r>
      <w:proofErr w:type="spellStart"/>
      <w:r>
        <w:t>Trade marks</w:t>
      </w:r>
      <w:proofErr w:type="spellEnd"/>
      <w:r>
        <w:t xml:space="preserve"> – Infringement claim </w:t>
      </w:r>
      <w:r w:rsidR="0099585A">
        <w:t>– Section</w:t>
      </w:r>
      <w:r>
        <w:t xml:space="preserve"> 120 of </w:t>
      </w:r>
      <w:r>
        <w:rPr>
          <w:i/>
          <w:iCs/>
        </w:rPr>
        <w:t xml:space="preserve">Trade Marks Act 1995 </w:t>
      </w:r>
      <w:r>
        <w:t xml:space="preserve">(Cth) </w:t>
      </w:r>
      <w:r w:rsidR="002D57F3">
        <w:t>–</w:t>
      </w:r>
      <w:r>
        <w:t xml:space="preserve"> </w:t>
      </w:r>
      <w:r w:rsidR="002D57F3">
        <w:t xml:space="preserve">Where </w:t>
      </w:r>
      <w:r w:rsidR="00F87EBD">
        <w:t>respondents authorised user and owner of registered trade mark for word "BOTOX" – Where respondents claimed appellants used brand name "PROTOX" as trade mark</w:t>
      </w:r>
      <w:r w:rsidR="004F255D">
        <w:t xml:space="preserve"> </w:t>
      </w:r>
      <w:r w:rsidR="00480A73">
        <w:t>and "PROTOX"</w:t>
      </w:r>
      <w:r w:rsidR="00F87EBD">
        <w:t xml:space="preserve"> deceptively similar </w:t>
      </w:r>
      <w:r w:rsidR="0099585A">
        <w:t>to BOTOX trade mark</w:t>
      </w:r>
      <w:r w:rsidR="00480A73">
        <w:t>,</w:t>
      </w:r>
      <w:r w:rsidR="0099585A">
        <w:t xml:space="preserve"> constitut</w:t>
      </w:r>
      <w:r w:rsidR="00480A73">
        <w:t>ing</w:t>
      </w:r>
      <w:r w:rsidR="0099585A">
        <w:t xml:space="preserve"> infringement under s 120(1) of </w:t>
      </w:r>
      <w:r w:rsidR="0099585A">
        <w:rPr>
          <w:i/>
          <w:iCs/>
        </w:rPr>
        <w:t>Trade Marks Act</w:t>
      </w:r>
      <w:r w:rsidR="0099585A">
        <w:t xml:space="preserve"> – Where respondents claimed appellants used phrase "instant Botox® alternative" as trade mark, which constituted infringement of BOTOX trade mark – </w:t>
      </w:r>
      <w:r w:rsidR="004F255D">
        <w:t xml:space="preserve">Whether appellant infringed BOTOX trade mark by using </w:t>
      </w:r>
      <w:r w:rsidR="004F255D" w:rsidRPr="004F255D">
        <w:t>"instant Botox® alternative"</w:t>
      </w:r>
      <w:r w:rsidR="004F255D">
        <w:t xml:space="preserve"> or "PROTOX" – Whether phrase </w:t>
      </w:r>
      <w:r w:rsidR="004F255D" w:rsidRPr="004F255D">
        <w:t>"instant Botox® alternative"</w:t>
      </w:r>
      <w:r w:rsidR="004F255D">
        <w:t xml:space="preserve"> deceptively similar to "BOTOX" within meaning of s 120(1) of </w:t>
      </w:r>
      <w:r w:rsidR="004F255D">
        <w:rPr>
          <w:i/>
          <w:iCs/>
        </w:rPr>
        <w:t>Trade Marks Act</w:t>
      </w:r>
      <w:r w:rsidR="004F255D">
        <w:t xml:space="preserve"> – Whether appellants' use </w:t>
      </w:r>
      <w:r w:rsidR="00480A73">
        <w:t>of phrase</w:t>
      </w:r>
      <w:r w:rsidR="004F255D">
        <w:t xml:space="preserve"> </w:t>
      </w:r>
      <w:r w:rsidR="004F255D" w:rsidRPr="004F255D">
        <w:t>"instant Botox® alternative"</w:t>
      </w:r>
      <w:r w:rsidR="00480A73">
        <w:t xml:space="preserve"> attracts defences under s </w:t>
      </w:r>
      <w:r w:rsidR="00480A73">
        <w:lastRenderedPageBreak/>
        <w:t>122(1)(b)(</w:t>
      </w:r>
      <w:proofErr w:type="spellStart"/>
      <w:r w:rsidR="00480A73">
        <w:t>i</w:t>
      </w:r>
      <w:proofErr w:type="spellEnd"/>
      <w:r w:rsidR="00480A73">
        <w:t xml:space="preserve">) and (d) of </w:t>
      </w:r>
      <w:r w:rsidR="00480A73">
        <w:rPr>
          <w:i/>
          <w:iCs/>
        </w:rPr>
        <w:t>Trade Marks Act</w:t>
      </w:r>
      <w:r w:rsidR="00AD6456">
        <w:t xml:space="preserve"> regarding use in good faith and use not infringing exclusive right of registered owner. </w:t>
      </w:r>
    </w:p>
    <w:p w14:paraId="4B38C2CF" w14:textId="77777777" w:rsidR="004F255D" w:rsidRDefault="004F255D" w:rsidP="004D2A3C">
      <w:pPr>
        <w:ind w:left="720"/>
      </w:pPr>
    </w:p>
    <w:p w14:paraId="12AAA2EB" w14:textId="650B6C8C" w:rsidR="004D2A3C" w:rsidRPr="004D2A3C" w:rsidRDefault="004F255D" w:rsidP="004D2A3C">
      <w:pPr>
        <w:ind w:left="720"/>
      </w:pPr>
      <w:r>
        <w:t xml:space="preserve">Consumer law – Misleading or deceptive conduct – </w:t>
      </w:r>
      <w:r w:rsidR="0099585A">
        <w:t>Where respondent claimed appellants</w:t>
      </w:r>
      <w:r w:rsidR="007E660A">
        <w:t>'</w:t>
      </w:r>
      <w:r w:rsidR="0099585A">
        <w:t xml:space="preserve"> </w:t>
      </w:r>
      <w:r>
        <w:t>statement "</w:t>
      </w:r>
      <w:r w:rsidRPr="004F255D">
        <w:t>instant Botox® alternative</w:t>
      </w:r>
      <w:r>
        <w:t xml:space="preserve">" constituted representation </w:t>
      </w:r>
      <w:r w:rsidR="007E660A">
        <w:t xml:space="preserve">appellants' </w:t>
      </w:r>
      <w:proofErr w:type="spellStart"/>
      <w:r w:rsidRPr="004F255D">
        <w:t>Inhibox</w:t>
      </w:r>
      <w:proofErr w:type="spellEnd"/>
      <w:r w:rsidRPr="004F255D">
        <w:t xml:space="preserve"> product would give </w:t>
      </w:r>
      <w:r>
        <w:t xml:space="preserve">same </w:t>
      </w:r>
      <w:r w:rsidRPr="004F255D">
        <w:t xml:space="preserve">results as </w:t>
      </w:r>
      <w:r w:rsidR="007E660A">
        <w:t>BOTOX</w:t>
      </w:r>
      <w:r w:rsidRPr="004F255D">
        <w:t xml:space="preserve"> products in contravention of s 18 or s 29(1)(a) of </w:t>
      </w:r>
      <w:r w:rsidRPr="004F255D">
        <w:rPr>
          <w:i/>
          <w:iCs/>
        </w:rPr>
        <w:t>Australian Consumer Law</w:t>
      </w:r>
      <w:r>
        <w:rPr>
          <w:i/>
          <w:iCs/>
        </w:rPr>
        <w:t xml:space="preserve"> </w:t>
      </w:r>
      <w:r>
        <w:t>("ACL")</w:t>
      </w:r>
      <w:r w:rsidRPr="004F255D">
        <w:t xml:space="preserve">, being Schedule 2 to </w:t>
      </w:r>
      <w:r w:rsidRPr="004F255D">
        <w:rPr>
          <w:i/>
          <w:iCs/>
        </w:rPr>
        <w:t>Competition and Consumer Act 2010</w:t>
      </w:r>
      <w:r w:rsidRPr="004F255D">
        <w:t> (Cth)</w:t>
      </w:r>
      <w:r>
        <w:t>, or</w:t>
      </w:r>
      <w:r w:rsidRPr="004F255D">
        <w:t xml:space="preserve"> </w:t>
      </w:r>
      <w:proofErr w:type="spellStart"/>
      <w:r w:rsidRPr="004F255D">
        <w:t>Inhibox</w:t>
      </w:r>
      <w:proofErr w:type="spellEnd"/>
      <w:r w:rsidRPr="004F255D">
        <w:t xml:space="preserve"> would achieve or had same performance characteristics, uses and/or benefits as Botox in contravention of s 18 or 29(1)(g)</w:t>
      </w:r>
      <w:r>
        <w:t xml:space="preserve"> of ACL – Whether appellants' </w:t>
      </w:r>
      <w:r w:rsidR="0099585A">
        <w:t xml:space="preserve">made misleading or false representations </w:t>
      </w:r>
      <w:r>
        <w:t>contrary to s</w:t>
      </w:r>
      <w:r w:rsidRPr="004F255D">
        <w:t>s 18, 29(1)(a) and 29(1)(g)</w:t>
      </w:r>
      <w:r>
        <w:t xml:space="preserve"> of ACL</w:t>
      </w:r>
      <w:r w:rsidR="004D2A3C" w:rsidRPr="004D2A3C">
        <w:t xml:space="preserve">. </w:t>
      </w:r>
    </w:p>
    <w:p w14:paraId="3738CCDD" w14:textId="77777777" w:rsidR="004D2A3C" w:rsidRPr="004D2A3C" w:rsidRDefault="004D2A3C" w:rsidP="004D2A3C"/>
    <w:p w14:paraId="19181CAB" w14:textId="27D4BA32" w:rsidR="004D2A3C" w:rsidRDefault="004D2A3C" w:rsidP="004D2A3C">
      <w:r w:rsidRPr="004D2A3C">
        <w:rPr>
          <w:b/>
        </w:rPr>
        <w:t xml:space="preserve">Appealed from FCA (FC): </w:t>
      </w:r>
      <w:hyperlink r:id="rId101" w:history="1">
        <w:r w:rsidRPr="004D2A3C">
          <w:rPr>
            <w:rStyle w:val="Hyperlink"/>
            <w:rFonts w:cs="Verdana"/>
            <w:bCs/>
            <w:noProof w:val="0"/>
          </w:rPr>
          <w:t>[2021] FCAFC 163</w:t>
        </w:r>
      </w:hyperlink>
      <w:r>
        <w:rPr>
          <w:bCs/>
        </w:rPr>
        <w:t xml:space="preserve">; </w:t>
      </w:r>
      <w:r w:rsidRPr="004D2A3C">
        <w:rPr>
          <w:bCs/>
        </w:rPr>
        <w:t>(2021) 286 FCR 259</w:t>
      </w:r>
      <w:r>
        <w:rPr>
          <w:bCs/>
        </w:rPr>
        <w:t>;</w:t>
      </w:r>
      <w:r w:rsidRPr="004D2A3C">
        <w:rPr>
          <w:bCs/>
        </w:rPr>
        <w:t xml:space="preserve"> (2021) 393 ALR 595</w:t>
      </w:r>
      <w:r w:rsidR="00476537">
        <w:rPr>
          <w:bCs/>
        </w:rPr>
        <w:t>;</w:t>
      </w:r>
      <w:r>
        <w:rPr>
          <w:bCs/>
        </w:rPr>
        <w:t xml:space="preserve"> </w:t>
      </w:r>
      <w:r w:rsidRPr="004D2A3C">
        <w:rPr>
          <w:bCs/>
        </w:rPr>
        <w:t>(2021) 162 IPR 52</w:t>
      </w:r>
    </w:p>
    <w:p w14:paraId="40E16C42" w14:textId="2302FAB8" w:rsidR="004D2A3C" w:rsidRDefault="004D2A3C" w:rsidP="004D2A3C"/>
    <w:p w14:paraId="4459170C" w14:textId="5D257DBC" w:rsidR="004D2A3C" w:rsidRPr="004D2A3C" w:rsidRDefault="004D2A3C" w:rsidP="004D2A3C">
      <w:pPr>
        <w:rPr>
          <w:bCs/>
        </w:rPr>
      </w:pPr>
      <w:r w:rsidRPr="004D2A3C">
        <w:rPr>
          <w:b/>
        </w:rPr>
        <w:t>Appealed from FCA (FC):</w:t>
      </w:r>
      <w:r>
        <w:rPr>
          <w:b/>
        </w:rPr>
        <w:t xml:space="preserve"> </w:t>
      </w:r>
      <w:hyperlink r:id="rId102" w:history="1">
        <w:r w:rsidRPr="004D2A3C">
          <w:rPr>
            <w:rStyle w:val="Hyperlink"/>
            <w:rFonts w:cs="Verdana"/>
            <w:bCs/>
            <w:noProof w:val="0"/>
          </w:rPr>
          <w:t>[2021] FCAFC 180</w:t>
        </w:r>
      </w:hyperlink>
    </w:p>
    <w:p w14:paraId="4D10928E" w14:textId="77777777" w:rsidR="004D2A3C" w:rsidRPr="004D2A3C" w:rsidRDefault="004D2A3C" w:rsidP="004D2A3C"/>
    <w:p w14:paraId="0FD3218A" w14:textId="77777777" w:rsidR="004D2A3C" w:rsidRPr="004D2A3C" w:rsidRDefault="000F3638" w:rsidP="004D2A3C">
      <w:hyperlink w:anchor="TOP" w:history="1">
        <w:r w:rsidR="004D2A3C" w:rsidRPr="004D2A3C">
          <w:rPr>
            <w:rFonts w:cs="Arial"/>
            <w:bCs/>
            <w:noProof/>
            <w:color w:val="0000FF"/>
            <w:u w:val="single"/>
          </w:rPr>
          <w:t>Return to Top</w:t>
        </w:r>
      </w:hyperlink>
    </w:p>
    <w:p w14:paraId="144018E6" w14:textId="4B3CB689" w:rsidR="003D6097" w:rsidRDefault="003D6097" w:rsidP="003D6097">
      <w:pPr>
        <w:pStyle w:val="Divider2"/>
        <w:pBdr>
          <w:bottom w:val="double" w:sz="6" w:space="0" w:color="auto"/>
        </w:pBdr>
      </w:pPr>
    </w:p>
    <w:p w14:paraId="7DC73E09" w14:textId="77777777" w:rsidR="00A23673" w:rsidRPr="00D64ED0" w:rsidRDefault="00A23673" w:rsidP="00A23673"/>
    <w:p w14:paraId="5FA3DD39" w14:textId="42E247B5" w:rsidR="00A23673" w:rsidRPr="00523623" w:rsidRDefault="00A23673" w:rsidP="00A23673">
      <w:pPr>
        <w:pStyle w:val="Heading2"/>
      </w:pPr>
      <w:r>
        <w:t xml:space="preserve">Private International Law </w:t>
      </w:r>
    </w:p>
    <w:p w14:paraId="2C6ABA96" w14:textId="77777777" w:rsidR="00A23673" w:rsidRDefault="00A23673" w:rsidP="00A23673"/>
    <w:p w14:paraId="1584CF08" w14:textId="6E2A39DE" w:rsidR="00A23673" w:rsidRDefault="00A23673" w:rsidP="00A23673">
      <w:pPr>
        <w:pStyle w:val="Heading3"/>
      </w:pPr>
      <w:bookmarkStart w:id="155" w:name="_Kingdom_of_Spain"/>
      <w:bookmarkEnd w:id="155"/>
      <w:r>
        <w:t>Kingdom</w:t>
      </w:r>
      <w:r w:rsidRPr="00A23673">
        <w:t xml:space="preserve"> of Spain v Infrastructure Services Luxembourg </w:t>
      </w:r>
      <w:proofErr w:type="spellStart"/>
      <w:r w:rsidRPr="00A23673">
        <w:t>S.à.r.l</w:t>
      </w:r>
      <w:proofErr w:type="spellEnd"/>
      <w:r w:rsidRPr="00A23673">
        <w:t>. &amp; Anor</w:t>
      </w:r>
    </w:p>
    <w:p w14:paraId="641A829D" w14:textId="5816CFF6" w:rsidR="00A23673" w:rsidRDefault="000F3638" w:rsidP="00A23673">
      <w:hyperlink r:id="rId103" w:history="1">
        <w:r w:rsidR="006F1472" w:rsidRPr="006F1472">
          <w:rPr>
            <w:rStyle w:val="Hyperlink"/>
            <w:rFonts w:cs="Verdana"/>
            <w:b/>
            <w:bCs/>
            <w:noProof w:val="0"/>
          </w:rPr>
          <w:t>S43/2022</w:t>
        </w:r>
      </w:hyperlink>
      <w:r w:rsidR="00A23673" w:rsidRPr="00BC379A">
        <w:rPr>
          <w:b/>
        </w:rPr>
        <w:t>:</w:t>
      </w:r>
      <w:r w:rsidR="00A23673" w:rsidRPr="00464ED0">
        <w:t xml:space="preserve"> </w:t>
      </w:r>
      <w:hyperlink r:id="rId104" w:history="1">
        <w:r w:rsidR="001E129D" w:rsidRPr="001E129D">
          <w:rPr>
            <w:rStyle w:val="Hyperlink"/>
            <w:rFonts w:cs="Verdana"/>
            <w:noProof w:val="0"/>
          </w:rPr>
          <w:t xml:space="preserve">[2022] </w:t>
        </w:r>
        <w:proofErr w:type="spellStart"/>
        <w:r w:rsidR="001E129D" w:rsidRPr="001E129D">
          <w:rPr>
            <w:rStyle w:val="Hyperlink"/>
            <w:rFonts w:cs="Verdana"/>
            <w:noProof w:val="0"/>
          </w:rPr>
          <w:t>HCATrans</w:t>
        </w:r>
        <w:proofErr w:type="spellEnd"/>
        <w:r w:rsidR="001E129D" w:rsidRPr="001E129D">
          <w:rPr>
            <w:rStyle w:val="Hyperlink"/>
            <w:rFonts w:cs="Verdana"/>
            <w:noProof w:val="0"/>
          </w:rPr>
          <w:t xml:space="preserve"> 39</w:t>
        </w:r>
      </w:hyperlink>
    </w:p>
    <w:p w14:paraId="4E7C27BA" w14:textId="77777777" w:rsidR="001E129D" w:rsidRDefault="001E129D" w:rsidP="00A23673"/>
    <w:p w14:paraId="6811B433" w14:textId="12181611" w:rsidR="00A23673" w:rsidRPr="00523623" w:rsidRDefault="00A23673" w:rsidP="00A23673">
      <w:r w:rsidRPr="004E7695">
        <w:rPr>
          <w:b/>
        </w:rPr>
        <w:t>Date</w:t>
      </w:r>
      <w:r>
        <w:rPr>
          <w:b/>
        </w:rPr>
        <w:t xml:space="preserve"> heard</w:t>
      </w:r>
      <w:r w:rsidRPr="004E7695">
        <w:rPr>
          <w:b/>
        </w:rPr>
        <w:t xml:space="preserve">: </w:t>
      </w:r>
      <w:r>
        <w:t xml:space="preserve">18 March 2022 – </w:t>
      </w:r>
      <w:r>
        <w:rPr>
          <w:i/>
        </w:rPr>
        <w:t>Special leave granted</w:t>
      </w:r>
    </w:p>
    <w:p w14:paraId="0A3AE957" w14:textId="77777777" w:rsidR="00A23673" w:rsidRPr="004E7695" w:rsidRDefault="00A23673" w:rsidP="00A23673"/>
    <w:p w14:paraId="111655CC" w14:textId="77777777" w:rsidR="00A23673" w:rsidRPr="004E7695" w:rsidRDefault="00A23673" w:rsidP="00A23673">
      <w:pPr>
        <w:rPr>
          <w:b/>
        </w:rPr>
      </w:pPr>
      <w:r w:rsidRPr="004E7695">
        <w:rPr>
          <w:b/>
        </w:rPr>
        <w:t>Catchwords:</w:t>
      </w:r>
    </w:p>
    <w:p w14:paraId="20E62683" w14:textId="77777777" w:rsidR="00A23673" w:rsidRDefault="00A23673" w:rsidP="00A23673"/>
    <w:p w14:paraId="38603A4B" w14:textId="56881021" w:rsidR="00A23673" w:rsidRPr="00BC379A" w:rsidRDefault="00A23673" w:rsidP="002079CE">
      <w:pPr>
        <w:ind w:left="720"/>
      </w:pPr>
      <w:r>
        <w:t xml:space="preserve">Private international law – Foreign state immunity – Interaction  between s 9 of </w:t>
      </w:r>
      <w:r w:rsidRPr="00A23673">
        <w:rPr>
          <w:i/>
          <w:iCs/>
        </w:rPr>
        <w:t>Foreign States Immunities Act 1985</w:t>
      </w:r>
      <w:r>
        <w:t xml:space="preserve"> (Cth) (</w:t>
      </w:r>
      <w:r w:rsidR="00A451CA">
        <w:t>"</w:t>
      </w:r>
      <w:r w:rsidRPr="00631207">
        <w:t>Immunities Act</w:t>
      </w:r>
      <w:r w:rsidR="00A451CA">
        <w:t>"</w:t>
      </w:r>
      <w:r>
        <w:t xml:space="preserve">) and </w:t>
      </w:r>
      <w:r w:rsidRPr="00A23673">
        <w:rPr>
          <w:i/>
          <w:iCs/>
        </w:rPr>
        <w:t>Convention on the Settlement of Investment Disputes between States and Nationals of Other States</w:t>
      </w:r>
      <w:r>
        <w:t xml:space="preserve"> (</w:t>
      </w:r>
      <w:r w:rsidR="00A451CA">
        <w:t>"</w:t>
      </w:r>
      <w:r w:rsidRPr="00631207">
        <w:t>ICSID Convention</w:t>
      </w:r>
      <w:r w:rsidR="00A451CA">
        <w:t>"</w:t>
      </w:r>
      <w:r>
        <w:t xml:space="preserve">) – </w:t>
      </w:r>
      <w:r w:rsidR="00F40DCF">
        <w:t xml:space="preserve">Where proceedings commenced in Federal Court for recognition of award of </w:t>
      </w:r>
      <w:r w:rsidR="00F40DCF" w:rsidRPr="00F40DCF">
        <w:t>International Centre for Settlement of Investment Disputes</w:t>
      </w:r>
      <w:r w:rsidR="00F40DCF">
        <w:t xml:space="preserve"> (</w:t>
      </w:r>
      <w:r w:rsidR="00A451CA">
        <w:t>"</w:t>
      </w:r>
      <w:r w:rsidR="00F40DCF">
        <w:t>ICSID</w:t>
      </w:r>
      <w:r w:rsidR="00A451CA">
        <w:t>"</w:t>
      </w:r>
      <w:r w:rsidR="00F40DCF">
        <w:t>)</w:t>
      </w:r>
      <w:r w:rsidR="00F40DCF" w:rsidRPr="00F40DCF">
        <w:t xml:space="preserve"> under s 35(4) of </w:t>
      </w:r>
      <w:r w:rsidR="00F40DCF" w:rsidRPr="00F40DCF">
        <w:rPr>
          <w:i/>
          <w:iCs/>
        </w:rPr>
        <w:t xml:space="preserve">International Arbitration Act 1974 </w:t>
      </w:r>
      <w:r w:rsidR="00F40DCF" w:rsidRPr="00F40DCF">
        <w:t>(Cth) (</w:t>
      </w:r>
      <w:r w:rsidR="00A451CA">
        <w:t>"</w:t>
      </w:r>
      <w:r w:rsidR="00F40DCF" w:rsidRPr="00631207">
        <w:t>Arbitration Act</w:t>
      </w:r>
      <w:r w:rsidR="00A451CA">
        <w:t>"</w:t>
      </w:r>
      <w:r w:rsidR="00F40DCF" w:rsidRPr="00F40DCF">
        <w:t>)</w:t>
      </w:r>
      <w:r w:rsidR="00F40DCF">
        <w:t xml:space="preserve"> – </w:t>
      </w:r>
      <w:r>
        <w:t xml:space="preserve">Where Kingdom of Spain asserted sovereign immunity – Where s 9 </w:t>
      </w:r>
      <w:r w:rsidRPr="00631207">
        <w:t xml:space="preserve">of Immunities Act provided that foreign state immune from jurisdiction of courts of Australia in proceeding – </w:t>
      </w:r>
      <w:r w:rsidR="00F40DCF" w:rsidRPr="00631207">
        <w:t>W</w:t>
      </w:r>
      <w:r w:rsidRPr="00631207">
        <w:t>here s 10 of Immunities Act provided foreign state not immune in proceeding in which it submitted to jurisdiction whether by agreement or otherwise –</w:t>
      </w:r>
      <w:r w:rsidR="001F5136" w:rsidRPr="00631207">
        <w:t xml:space="preserve"> Where Art 54(1) provided each Contracting State shall recognize award rendered pursuant to ICSID Convention as binding – </w:t>
      </w:r>
      <w:r w:rsidR="00F40DCF" w:rsidRPr="00631207">
        <w:t>Where Art 54</w:t>
      </w:r>
      <w:r w:rsidR="002079CE" w:rsidRPr="00631207">
        <w:t>(2)</w:t>
      </w:r>
      <w:r w:rsidR="00F40DCF" w:rsidRPr="00631207">
        <w:t xml:space="preserve"> of ICSID Convention </w:t>
      </w:r>
      <w:r w:rsidR="002079CE" w:rsidRPr="00631207">
        <w:t>referred to recognition or enforcement of award</w:t>
      </w:r>
      <w:r w:rsidR="00F40DCF" w:rsidRPr="00631207">
        <w:t xml:space="preserve"> – </w:t>
      </w:r>
      <w:r w:rsidRPr="00631207">
        <w:t>Whether</w:t>
      </w:r>
      <w:r w:rsidR="005C1E32" w:rsidRPr="00631207">
        <w:t>,</w:t>
      </w:r>
      <w:r w:rsidRPr="00631207">
        <w:t xml:space="preserve"> by Art 54 of ICSID Convention</w:t>
      </w:r>
      <w:r w:rsidR="005C1E32" w:rsidRPr="00631207">
        <w:t>,</w:t>
      </w:r>
      <w:r w:rsidRPr="00631207">
        <w:t xml:space="preserve"> Kingdom of Spain agreed to submit itself to jurisdiction</w:t>
      </w:r>
      <w:r w:rsidR="00F40DCF" w:rsidRPr="00631207">
        <w:t xml:space="preserve"> </w:t>
      </w:r>
      <w:r w:rsidRPr="00631207">
        <w:t xml:space="preserve">within meaning of s 10 of Immunities </w:t>
      </w:r>
      <w:r w:rsidRPr="00631207">
        <w:lastRenderedPageBreak/>
        <w:t>Act</w:t>
      </w:r>
      <w:r w:rsidR="002079CE" w:rsidRPr="00631207">
        <w:t xml:space="preserve"> – Whether ICSID Convention excludes claims for</w:t>
      </w:r>
      <w:r w:rsidR="001F5136" w:rsidRPr="00631207">
        <w:t xml:space="preserve"> </w:t>
      </w:r>
      <w:r w:rsidR="002079CE" w:rsidRPr="00631207">
        <w:t>foreign state immunity in proceedings for recognition</w:t>
      </w:r>
      <w:r w:rsidR="001C4752" w:rsidRPr="00631207">
        <w:t xml:space="preserve"> </w:t>
      </w:r>
      <w:r w:rsidR="002079CE" w:rsidRPr="00631207">
        <w:t xml:space="preserve">and enforcement of an award – </w:t>
      </w:r>
      <w:r w:rsidR="001C4752" w:rsidRPr="00631207">
        <w:t>Proper</w:t>
      </w:r>
      <w:r w:rsidR="001C4752">
        <w:t xml:space="preserve"> </w:t>
      </w:r>
      <w:r w:rsidR="002079CE">
        <w:t xml:space="preserve">meaning of </w:t>
      </w:r>
      <w:r w:rsidR="00A451CA">
        <w:t>"</w:t>
      </w:r>
      <w:r w:rsidR="002079CE">
        <w:t>recognition</w:t>
      </w:r>
      <w:r w:rsidR="00A451CA">
        <w:t>"</w:t>
      </w:r>
      <w:r w:rsidR="002079CE">
        <w:t xml:space="preserve"> and</w:t>
      </w:r>
      <w:r w:rsidR="001C4752">
        <w:t xml:space="preserve"> </w:t>
      </w:r>
      <w:r w:rsidR="00A451CA">
        <w:t>"</w:t>
      </w:r>
      <w:r w:rsidR="002079CE">
        <w:t>enforcement</w:t>
      </w:r>
      <w:r w:rsidR="00A451CA">
        <w:t>"</w:t>
      </w:r>
      <w:r w:rsidR="002079CE">
        <w:t xml:space="preserve"> in Art 54</w:t>
      </w:r>
      <w:r w:rsidR="001C4752">
        <w:t xml:space="preserve">. </w:t>
      </w:r>
    </w:p>
    <w:p w14:paraId="5EA92CC1" w14:textId="77777777" w:rsidR="00A23673" w:rsidRPr="00C32A1D" w:rsidRDefault="00A23673" w:rsidP="00A23673"/>
    <w:p w14:paraId="1B26DC54" w14:textId="47847361" w:rsidR="00A23673" w:rsidRPr="00307943" w:rsidRDefault="00A23673" w:rsidP="00A23673">
      <w:r w:rsidRPr="004E7695">
        <w:rPr>
          <w:b/>
        </w:rPr>
        <w:t xml:space="preserve">Appealed from </w:t>
      </w:r>
      <w:r>
        <w:rPr>
          <w:b/>
        </w:rPr>
        <w:t xml:space="preserve">FCA (FC): </w:t>
      </w:r>
      <w:hyperlink r:id="rId105" w:history="1">
        <w:r w:rsidRPr="00A23673">
          <w:rPr>
            <w:rStyle w:val="Hyperlink"/>
            <w:rFonts w:cs="Verdana"/>
            <w:bCs/>
            <w:noProof w:val="0"/>
          </w:rPr>
          <w:t>[2021] FCAFC 112</w:t>
        </w:r>
      </w:hyperlink>
      <w:r>
        <w:rPr>
          <w:bCs/>
        </w:rPr>
        <w:t xml:space="preserve">; </w:t>
      </w:r>
      <w:r w:rsidRPr="00A23673">
        <w:rPr>
          <w:bCs/>
        </w:rPr>
        <w:t>(2021) 392 ALR 443; (2021) 153 ACSR 59</w:t>
      </w:r>
    </w:p>
    <w:p w14:paraId="3CDF51CA" w14:textId="77777777" w:rsidR="00A23673" w:rsidRPr="00E064DF" w:rsidRDefault="00A23673" w:rsidP="00A23673"/>
    <w:p w14:paraId="5E5192F7" w14:textId="77777777" w:rsidR="00A23673" w:rsidRPr="002314BE" w:rsidRDefault="000F3638" w:rsidP="00A23673">
      <w:hyperlink w:anchor="TOP" w:history="1">
        <w:r w:rsidR="00A23673" w:rsidRPr="004E7695">
          <w:rPr>
            <w:rStyle w:val="Hyperlink"/>
            <w:rFonts w:cs="Verdana"/>
            <w:bCs/>
          </w:rPr>
          <w:t>Return to Top</w:t>
        </w:r>
      </w:hyperlink>
    </w:p>
    <w:bookmarkEnd w:id="152"/>
    <w:bookmarkEnd w:id="153"/>
    <w:p w14:paraId="6C4A8D3F" w14:textId="77777777" w:rsidR="009D4A75" w:rsidRDefault="009D4A75" w:rsidP="009D4A75">
      <w:pPr>
        <w:pStyle w:val="Divider2"/>
        <w:pBdr>
          <w:bottom w:val="double" w:sz="6" w:space="0" w:color="auto"/>
        </w:pBdr>
      </w:pPr>
    </w:p>
    <w:p w14:paraId="69FB0961" w14:textId="77777777" w:rsidR="00051599" w:rsidRDefault="00051599" w:rsidP="00051599"/>
    <w:p w14:paraId="16CCDA80" w14:textId="3B17A9A0" w:rsidR="000953F1" w:rsidRDefault="000953F1" w:rsidP="000953F1">
      <w:pPr>
        <w:pStyle w:val="Heading2"/>
      </w:pPr>
      <w:r>
        <w:t xml:space="preserve">Statutory Interpretation </w:t>
      </w:r>
    </w:p>
    <w:p w14:paraId="59535941" w14:textId="77777777" w:rsidR="000953F1" w:rsidRPr="00DE668C" w:rsidRDefault="000953F1" w:rsidP="000953F1"/>
    <w:p w14:paraId="6D9404F4" w14:textId="77777777" w:rsidR="000953F1" w:rsidRPr="00D0009F" w:rsidRDefault="000953F1" w:rsidP="000953F1">
      <w:pPr>
        <w:pStyle w:val="Heading3"/>
        <w:tabs>
          <w:tab w:val="left" w:pos="426"/>
        </w:tabs>
      </w:pPr>
      <w:bookmarkStart w:id="156" w:name="_Page_v_Sydney"/>
      <w:bookmarkEnd w:id="156"/>
      <w:r>
        <w:t xml:space="preserve">Page v Sydney Seaplanes Pty Ltd trading as Sydney Seaplanes </w:t>
      </w:r>
    </w:p>
    <w:p w14:paraId="628EE585" w14:textId="77777777" w:rsidR="000953F1" w:rsidRDefault="000F3638" w:rsidP="000953F1">
      <w:hyperlink r:id="rId106" w:history="1">
        <w:r w:rsidR="000953F1" w:rsidRPr="005F1C25">
          <w:rPr>
            <w:rStyle w:val="Hyperlink"/>
            <w:rFonts w:cs="Verdana"/>
            <w:b/>
            <w:bCs/>
            <w:noProof w:val="0"/>
          </w:rPr>
          <w:t>S60/2022</w:t>
        </w:r>
      </w:hyperlink>
      <w:hyperlink r:id="rId107" w:history="1"/>
      <w:r w:rsidR="000953F1" w:rsidRPr="00DE668C">
        <w:rPr>
          <w:b/>
          <w:bCs/>
        </w:rPr>
        <w:t>:</w:t>
      </w:r>
      <w:r w:rsidR="000953F1" w:rsidRPr="00D0009F">
        <w:t xml:space="preserve"> </w:t>
      </w:r>
      <w:hyperlink r:id="rId108" w:history="1">
        <w:r w:rsidR="000953F1" w:rsidRPr="004663D5">
          <w:rPr>
            <w:rStyle w:val="Hyperlink"/>
            <w:rFonts w:cs="Verdana"/>
            <w:noProof w:val="0"/>
          </w:rPr>
          <w:t xml:space="preserve">[2022] </w:t>
        </w:r>
        <w:proofErr w:type="spellStart"/>
        <w:r w:rsidR="000953F1" w:rsidRPr="004663D5">
          <w:rPr>
            <w:rStyle w:val="Hyperlink"/>
            <w:rFonts w:cs="Verdana"/>
            <w:noProof w:val="0"/>
          </w:rPr>
          <w:t>HCATrans</w:t>
        </w:r>
        <w:proofErr w:type="spellEnd"/>
        <w:r w:rsidR="000953F1" w:rsidRPr="004663D5">
          <w:rPr>
            <w:rStyle w:val="Hyperlink"/>
            <w:rFonts w:cs="Verdana"/>
            <w:noProof w:val="0"/>
          </w:rPr>
          <w:t xml:space="preserve"> 70</w:t>
        </w:r>
      </w:hyperlink>
    </w:p>
    <w:p w14:paraId="1F081A47" w14:textId="77777777" w:rsidR="000953F1" w:rsidRDefault="000953F1" w:rsidP="000953F1"/>
    <w:p w14:paraId="14E4CC0B" w14:textId="77777777" w:rsidR="000953F1" w:rsidRPr="00D43080" w:rsidRDefault="000953F1" w:rsidP="000953F1">
      <w:r w:rsidRPr="004E7695">
        <w:rPr>
          <w:b/>
        </w:rPr>
        <w:t xml:space="preserve">Date </w:t>
      </w:r>
      <w:r>
        <w:rPr>
          <w:b/>
        </w:rPr>
        <w:t>heard</w:t>
      </w:r>
      <w:r w:rsidRPr="004E7695">
        <w:rPr>
          <w:b/>
        </w:rPr>
        <w:t>:</w:t>
      </w:r>
      <w:r w:rsidRPr="00FC0B58">
        <w:t xml:space="preserve"> </w:t>
      </w:r>
      <w:r>
        <w:t xml:space="preserve">13 April 2022 – </w:t>
      </w:r>
      <w:r>
        <w:rPr>
          <w:i/>
        </w:rPr>
        <w:t>Special leave granted</w:t>
      </w:r>
    </w:p>
    <w:p w14:paraId="287488F4" w14:textId="77777777" w:rsidR="000953F1" w:rsidRPr="004E7695" w:rsidRDefault="000953F1" w:rsidP="000953F1"/>
    <w:p w14:paraId="19B6D302" w14:textId="77777777" w:rsidR="000953F1" w:rsidRPr="004E7695" w:rsidRDefault="000953F1" w:rsidP="000953F1">
      <w:pPr>
        <w:rPr>
          <w:b/>
        </w:rPr>
      </w:pPr>
      <w:r w:rsidRPr="004E7695">
        <w:rPr>
          <w:b/>
        </w:rPr>
        <w:t>Catchwords:</w:t>
      </w:r>
    </w:p>
    <w:p w14:paraId="15C9A974" w14:textId="77777777" w:rsidR="000953F1" w:rsidRPr="004E7695" w:rsidRDefault="000953F1" w:rsidP="000953F1">
      <w:pPr>
        <w:rPr>
          <w:b/>
        </w:rPr>
      </w:pPr>
    </w:p>
    <w:p w14:paraId="747683AE" w14:textId="5C0B4963" w:rsidR="000953F1" w:rsidRDefault="000953F1" w:rsidP="000953F1">
      <w:pPr>
        <w:ind w:left="720"/>
      </w:pPr>
      <w:r>
        <w:t>Statutory interpretation</w:t>
      </w:r>
      <w:r w:rsidRPr="00C97B7C">
        <w:t xml:space="preserve"> – Jurisdiction –</w:t>
      </w:r>
      <w:r>
        <w:t xml:space="preserve"> Limitation of actions – </w:t>
      </w:r>
      <w:r w:rsidRPr="00C97B7C">
        <w:t xml:space="preserve"> Inconsistency – Where s 11(2) of </w:t>
      </w:r>
      <w:r w:rsidRPr="00C97B7C">
        <w:rPr>
          <w:i/>
          <w:iCs/>
        </w:rPr>
        <w:t>Federal Courts (State Jurisdiction) Act 1999</w:t>
      </w:r>
      <w:r w:rsidRPr="00C97B7C">
        <w:t xml:space="preserve"> (NSW) (</w:t>
      </w:r>
      <w:r>
        <w:t>"</w:t>
      </w:r>
      <w:r w:rsidRPr="00C97B7C">
        <w:t>NSW Jurisdiction Act</w:t>
      </w:r>
      <w:r>
        <w:t>"</w:t>
      </w:r>
      <w:r w:rsidRPr="00C97B7C">
        <w:t xml:space="preserve">) enabled party to proceeding in which </w:t>
      </w:r>
      <w:r>
        <w:t>"</w:t>
      </w:r>
      <w:r w:rsidRPr="00C97B7C">
        <w:t>relevant order</w:t>
      </w:r>
      <w:r>
        <w:t>"</w:t>
      </w:r>
      <w:r w:rsidRPr="00C97B7C">
        <w:t xml:space="preserve"> was made to apply to NSW Supreme Court for order that proceeding be treated as one in Supreme Court – Where appellant commenced proceedings in Federal Court of Australia seeking damages from respondent in connection with seaplane accident pursuant to provisions of </w:t>
      </w:r>
      <w:r w:rsidRPr="00C97B7C">
        <w:rPr>
          <w:i/>
          <w:iCs/>
        </w:rPr>
        <w:t>Civil Aviation (Carriers’ Liability) Act 1959</w:t>
      </w:r>
      <w:r w:rsidRPr="00C97B7C">
        <w:t xml:space="preserve"> (Cth) (</w:t>
      </w:r>
      <w:r>
        <w:t>"</w:t>
      </w:r>
      <w:r w:rsidRPr="00C97B7C">
        <w:t>Commonwealth Act</w:t>
      </w:r>
      <w:r>
        <w:t>"</w:t>
      </w:r>
      <w:r w:rsidRPr="00C97B7C">
        <w:t xml:space="preserve">), incorporated by s 5 of </w:t>
      </w:r>
      <w:r w:rsidRPr="00C97B7C">
        <w:rPr>
          <w:i/>
          <w:iCs/>
        </w:rPr>
        <w:t>Civil Aviation (Carriers’ Liability) Act 1967</w:t>
      </w:r>
      <w:r w:rsidRPr="00C97B7C">
        <w:t xml:space="preserve"> (NSW) – Where Federal Court dismissed application for want of jurisdiction because accident occurred solely in New South Wales – Where action subject to two-year limitation and extinguishment of right to damages – Where two years had passed before Federal Court decision – Where appellant sought orders in NSW Supreme Court under s 11 that Federal Court proceedings be treated as Supreme Court proceedings such that proceedings commenced within limitation period</w:t>
      </w:r>
      <w:r>
        <w:t xml:space="preserve"> – </w:t>
      </w:r>
      <w:r w:rsidRPr="00C97B7C">
        <w:t xml:space="preserve">Where Court of Appeal held </w:t>
      </w:r>
      <w:r>
        <w:t>"</w:t>
      </w:r>
      <w:r w:rsidRPr="00C97B7C">
        <w:t>relevant order</w:t>
      </w:r>
      <w:r>
        <w:t>"</w:t>
      </w:r>
      <w:r w:rsidRPr="00C97B7C">
        <w:t xml:space="preserve"> in s 11 of NSW Jurisdiction Act refers to not to general want of jurisdiction but to general want of jurisdiction by reason of constitutionally invalid conferral of jurisdiction as considered in </w:t>
      </w:r>
      <w:r w:rsidRPr="00C97B7C">
        <w:rPr>
          <w:i/>
          <w:iCs/>
        </w:rPr>
        <w:t xml:space="preserve">Re </w:t>
      </w:r>
      <w:proofErr w:type="spellStart"/>
      <w:r w:rsidRPr="00C97B7C">
        <w:rPr>
          <w:i/>
          <w:iCs/>
        </w:rPr>
        <w:t>Wakim</w:t>
      </w:r>
      <w:proofErr w:type="spellEnd"/>
      <w:r w:rsidRPr="00C97B7C">
        <w:rPr>
          <w:i/>
          <w:iCs/>
        </w:rPr>
        <w:t xml:space="preserve">; Ex </w:t>
      </w:r>
      <w:proofErr w:type="spellStart"/>
      <w:r w:rsidRPr="00C97B7C">
        <w:rPr>
          <w:i/>
          <w:iCs/>
        </w:rPr>
        <w:t>parte</w:t>
      </w:r>
      <w:proofErr w:type="spellEnd"/>
      <w:r w:rsidRPr="00C97B7C">
        <w:rPr>
          <w:i/>
          <w:iCs/>
        </w:rPr>
        <w:t xml:space="preserve"> McNally</w:t>
      </w:r>
      <w:r w:rsidRPr="00C97B7C">
        <w:t xml:space="preserve"> (1999) 198 CLR 511</w:t>
      </w:r>
      <w:r>
        <w:t xml:space="preserve"> –</w:t>
      </w:r>
      <w:r w:rsidRPr="00C97B7C">
        <w:t xml:space="preserve"> Whether order of Federal Court dismissing Federal Court proceeding for want of jurisdiction was </w:t>
      </w:r>
      <w:r>
        <w:t>"</w:t>
      </w:r>
      <w:r w:rsidRPr="00C97B7C">
        <w:t>relevant order</w:t>
      </w:r>
      <w:r>
        <w:t>"</w:t>
      </w:r>
      <w:r w:rsidRPr="00C97B7C">
        <w:t xml:space="preserve"> within meaning of s 11 of NSW Jurisdiction Act.</w:t>
      </w:r>
    </w:p>
    <w:p w14:paraId="01A6A16D" w14:textId="77777777" w:rsidR="000953F1" w:rsidRPr="004E7695" w:rsidRDefault="000953F1" w:rsidP="000953F1">
      <w:pPr>
        <w:ind w:left="720"/>
      </w:pPr>
    </w:p>
    <w:p w14:paraId="708B85C5" w14:textId="59A4418B" w:rsidR="000953F1" w:rsidRDefault="000953F1" w:rsidP="000953F1">
      <w:r w:rsidRPr="004E7695">
        <w:rPr>
          <w:b/>
        </w:rPr>
        <w:t>Appealed from</w:t>
      </w:r>
      <w:r>
        <w:rPr>
          <w:b/>
        </w:rPr>
        <w:t xml:space="preserve"> NSW (CA):</w:t>
      </w:r>
      <w:r>
        <w:t xml:space="preserve"> </w:t>
      </w:r>
      <w:hyperlink r:id="rId109" w:history="1">
        <w:r w:rsidRPr="00DE668C">
          <w:rPr>
            <w:rStyle w:val="Hyperlink"/>
            <w:rFonts w:cs="Verdana"/>
            <w:noProof w:val="0"/>
          </w:rPr>
          <w:t>[2021] NSWCA 204</w:t>
        </w:r>
      </w:hyperlink>
      <w:r>
        <w:t xml:space="preserve">; </w:t>
      </w:r>
      <w:r w:rsidR="00476537" w:rsidRPr="00476537">
        <w:t>(2021) 106 NSWLR 1</w:t>
      </w:r>
      <w:r w:rsidR="00476537">
        <w:t>;</w:t>
      </w:r>
      <w:r w:rsidR="00476537" w:rsidRPr="00476537">
        <w:t xml:space="preserve"> </w:t>
      </w:r>
      <w:r w:rsidRPr="00DE668C">
        <w:t>(2021) 362 FLR 1</w:t>
      </w:r>
      <w:r>
        <w:t xml:space="preserve">; </w:t>
      </w:r>
      <w:r w:rsidRPr="00DE668C">
        <w:t>(2021) 393 ALR 485</w:t>
      </w:r>
    </w:p>
    <w:p w14:paraId="3397D918" w14:textId="77777777" w:rsidR="000953F1" w:rsidRPr="004E7695" w:rsidRDefault="000953F1" w:rsidP="000953F1"/>
    <w:p w14:paraId="63703CC4" w14:textId="77777777" w:rsidR="000953F1" w:rsidRDefault="000F3638" w:rsidP="000953F1">
      <w:pPr>
        <w:rPr>
          <w:rStyle w:val="Hyperlink"/>
          <w:rFonts w:cs="Verdana"/>
          <w:bCs/>
        </w:rPr>
      </w:pPr>
      <w:hyperlink w:anchor="TOP" w:history="1">
        <w:r w:rsidR="000953F1" w:rsidRPr="004E7695">
          <w:rPr>
            <w:rStyle w:val="Hyperlink"/>
            <w:rFonts w:cs="Verdana"/>
            <w:bCs/>
          </w:rPr>
          <w:t>Return to Top</w:t>
        </w:r>
      </w:hyperlink>
    </w:p>
    <w:p w14:paraId="63D81D3E" w14:textId="77777777" w:rsidR="000953F1" w:rsidRDefault="000953F1" w:rsidP="000953F1">
      <w:pPr>
        <w:pStyle w:val="Divider1"/>
      </w:pPr>
    </w:p>
    <w:p w14:paraId="7D4934B8" w14:textId="77777777" w:rsidR="000953F1" w:rsidRPr="000953F1" w:rsidRDefault="000953F1" w:rsidP="000953F1"/>
    <w:p w14:paraId="5EA3D076" w14:textId="01A08563" w:rsidR="00051599" w:rsidRPr="00523623" w:rsidRDefault="00051599" w:rsidP="00051599">
      <w:pPr>
        <w:pStyle w:val="Heading2"/>
      </w:pPr>
      <w:r>
        <w:t xml:space="preserve">Torts </w:t>
      </w:r>
    </w:p>
    <w:p w14:paraId="4D81333B" w14:textId="77777777" w:rsidR="00051599" w:rsidRDefault="00051599" w:rsidP="00051599"/>
    <w:p w14:paraId="00C2E199" w14:textId="1062D800" w:rsidR="00051599" w:rsidRPr="0071714F" w:rsidRDefault="006F1472" w:rsidP="0071714F">
      <w:pPr>
        <w:pStyle w:val="Heading3"/>
        <w:rPr>
          <w:iCs/>
        </w:rPr>
      </w:pPr>
      <w:bookmarkStart w:id="157" w:name="_Electricity_Networks_Corporation"/>
      <w:bookmarkEnd w:id="157"/>
      <w:r w:rsidRPr="0071714F">
        <w:rPr>
          <w:bCs w:val="0"/>
          <w:iCs/>
        </w:rPr>
        <w:t xml:space="preserve">Electricity Networks Corporation Trading as Western Power v </w:t>
      </w:r>
      <w:proofErr w:type="spellStart"/>
      <w:r w:rsidRPr="0071714F">
        <w:rPr>
          <w:bCs w:val="0"/>
          <w:iCs/>
        </w:rPr>
        <w:t>Herridge</w:t>
      </w:r>
      <w:proofErr w:type="spellEnd"/>
      <w:r w:rsidRPr="0071714F">
        <w:rPr>
          <w:bCs w:val="0"/>
          <w:iCs/>
        </w:rPr>
        <w:t xml:space="preserve"> Parties &amp; Ors</w:t>
      </w:r>
    </w:p>
    <w:p w14:paraId="1DB606FE" w14:textId="7B8F80EE" w:rsidR="00051599" w:rsidRPr="00CA0EC8" w:rsidRDefault="000F3638" w:rsidP="001C0B0D">
      <w:hyperlink r:id="rId110" w:history="1">
        <w:r w:rsidR="006F1472" w:rsidRPr="006F1472">
          <w:rPr>
            <w:rStyle w:val="Hyperlink"/>
            <w:rFonts w:cs="Verdana"/>
            <w:b/>
            <w:bCs/>
            <w:noProof w:val="0"/>
          </w:rPr>
          <w:t>P5/2022</w:t>
        </w:r>
      </w:hyperlink>
      <w:r w:rsidR="001C0B0D">
        <w:rPr>
          <w:b/>
          <w:bCs/>
        </w:rPr>
        <w:t xml:space="preserve">: </w:t>
      </w:r>
      <w:hyperlink r:id="rId111" w:history="1">
        <w:r w:rsidR="001C2028" w:rsidRPr="001C2028">
          <w:rPr>
            <w:rStyle w:val="Hyperlink"/>
            <w:rFonts w:cs="Verdana"/>
            <w:noProof w:val="0"/>
          </w:rPr>
          <w:t xml:space="preserve">[2022] </w:t>
        </w:r>
        <w:proofErr w:type="spellStart"/>
        <w:r w:rsidR="001C2028" w:rsidRPr="001C2028">
          <w:rPr>
            <w:rStyle w:val="Hyperlink"/>
            <w:rFonts w:cs="Verdana"/>
            <w:noProof w:val="0"/>
          </w:rPr>
          <w:t>HCATrans</w:t>
        </w:r>
        <w:proofErr w:type="spellEnd"/>
        <w:r w:rsidR="001C2028" w:rsidRPr="001C2028">
          <w:rPr>
            <w:rStyle w:val="Hyperlink"/>
            <w:rFonts w:cs="Verdana"/>
            <w:noProof w:val="0"/>
          </w:rPr>
          <w:t xml:space="preserve"> 37</w:t>
        </w:r>
      </w:hyperlink>
    </w:p>
    <w:p w14:paraId="112C670E" w14:textId="77777777" w:rsidR="00051599" w:rsidRDefault="00051599" w:rsidP="00051599"/>
    <w:p w14:paraId="6B36FE09" w14:textId="602B0411" w:rsidR="00051599" w:rsidRPr="00523623" w:rsidRDefault="00051599" w:rsidP="00051599">
      <w:r w:rsidRPr="004E7695">
        <w:rPr>
          <w:b/>
        </w:rPr>
        <w:t>Date</w:t>
      </w:r>
      <w:r>
        <w:rPr>
          <w:b/>
        </w:rPr>
        <w:t xml:space="preserve"> heard</w:t>
      </w:r>
      <w:r w:rsidRPr="004E7695">
        <w:rPr>
          <w:b/>
        </w:rPr>
        <w:t xml:space="preserve">: </w:t>
      </w:r>
      <w:r>
        <w:t xml:space="preserve">17 March 2022– </w:t>
      </w:r>
      <w:r>
        <w:rPr>
          <w:i/>
        </w:rPr>
        <w:t>Special leave granted</w:t>
      </w:r>
    </w:p>
    <w:p w14:paraId="37BC8F37" w14:textId="77777777" w:rsidR="00051599" w:rsidRPr="004E7695" w:rsidRDefault="00051599" w:rsidP="00051599"/>
    <w:p w14:paraId="57CEF2D7" w14:textId="77777777" w:rsidR="00051599" w:rsidRPr="004E7695" w:rsidRDefault="00051599" w:rsidP="00051599">
      <w:pPr>
        <w:rPr>
          <w:b/>
        </w:rPr>
      </w:pPr>
      <w:r w:rsidRPr="004E7695">
        <w:rPr>
          <w:b/>
        </w:rPr>
        <w:t>Catchwords:</w:t>
      </w:r>
    </w:p>
    <w:p w14:paraId="39471559" w14:textId="77777777" w:rsidR="00051599" w:rsidRDefault="00051599" w:rsidP="00051599"/>
    <w:p w14:paraId="47E96C10" w14:textId="33E29009" w:rsidR="00051599" w:rsidRPr="00655E73" w:rsidRDefault="000940D2" w:rsidP="00440387">
      <w:pPr>
        <w:ind w:left="720"/>
      </w:pPr>
      <w:r w:rsidRPr="000940D2">
        <w:t>Torts – Negligence – Duty of care – Breach of duty</w:t>
      </w:r>
      <w:r w:rsidR="001F5136">
        <w:t xml:space="preserve"> </w:t>
      </w:r>
      <w:r w:rsidRPr="000940D2">
        <w:t>–</w:t>
      </w:r>
      <w:r w:rsidR="001F5136">
        <w:t xml:space="preserve"> Statutory authority –</w:t>
      </w:r>
      <w:r w:rsidRPr="000940D2">
        <w:t xml:space="preserve"> Where Western Power (</w:t>
      </w:r>
      <w:r w:rsidR="00A451CA">
        <w:t>"</w:t>
      </w:r>
      <w:r w:rsidRPr="000940D2">
        <w:t>WP</w:t>
      </w:r>
      <w:r w:rsidR="00A451CA">
        <w:t>"</w:t>
      </w:r>
      <w:r w:rsidRPr="000940D2">
        <w:t xml:space="preserve">) statutory authority established under </w:t>
      </w:r>
      <w:r w:rsidRPr="000940D2">
        <w:rPr>
          <w:i/>
          <w:iCs/>
        </w:rPr>
        <w:t>Electricity Corporations Act 2005</w:t>
      </w:r>
      <w:r w:rsidRPr="000940D2">
        <w:t xml:space="preserve"> (WA) with functions including management, provision and improvement of electricity transmission and distribution services in South West Interconnected System (</w:t>
      </w:r>
      <w:r w:rsidR="00A451CA">
        <w:t>"</w:t>
      </w:r>
      <w:r w:rsidRPr="000940D2">
        <w:t>SWIS</w:t>
      </w:r>
      <w:r w:rsidR="00A451CA">
        <w:t>"</w:t>
      </w:r>
      <w:r w:rsidRPr="000940D2">
        <w:t>) – Where service cable owned by WP ran from WP's termination pole into mains connection box secured adjacent to top of point of attachment pole (</w:t>
      </w:r>
      <w:r w:rsidR="00A451CA">
        <w:t>"</w:t>
      </w:r>
      <w:r w:rsidRPr="000940D2">
        <w:t>PA pole</w:t>
      </w:r>
      <w:r w:rsidR="00A451CA">
        <w:t>"</w:t>
      </w:r>
      <w:r w:rsidRPr="000940D2">
        <w:t xml:space="preserve">) on Mrs Campbell's property – Where PA pole owned by Mrs Campbell </w:t>
      </w:r>
      <w:r>
        <w:t>–</w:t>
      </w:r>
      <w:r w:rsidRPr="000940D2">
        <w:t xml:space="preserve"> Where electricity passed from wires of WP's service cable to wires of Mrs Campbell's consumer mains cable </w:t>
      </w:r>
      <w:r w:rsidR="008755EC">
        <w:t>–</w:t>
      </w:r>
      <w:r w:rsidRPr="000940D2">
        <w:t xml:space="preserve"> Where WP had systems for regular inspection of WP's network assets, but did not regularly inspect or maintain consumer-owned </w:t>
      </w:r>
      <w:r>
        <w:t>PA</w:t>
      </w:r>
      <w:r w:rsidRPr="000940D2">
        <w:t xml:space="preserve"> poles – Where WP engaged Thiess to replace WP's network poles in Parkerville area, including termination pole, but inspection did not comply with industry standards or Thiess' contractual obligations </w:t>
      </w:r>
      <w:r>
        <w:t>–</w:t>
      </w:r>
      <w:r w:rsidRPr="000940D2">
        <w:t xml:space="preserve"> </w:t>
      </w:r>
      <w:r>
        <w:t>W</w:t>
      </w:r>
      <w:r w:rsidRPr="000940D2">
        <w:t xml:space="preserve">here PA pole fell causing electrical arcing, igniting dry vegetation around base of pole – Where resulting fire spread, becoming Parkerville bushfire, and causing property damage – Where primary judge found WP owed duty to take reasonable care to inspect PA pole to ascertain whether safe and fit condition for supply of electricity before and when undertaking works on pole, but duty discharged by engaging Thiess – Where trial judge apportioned liability for losses 70% as to Thiess and 30% as to Mrs Campbell, and dismissed claims against WP – Where Court of Appeal formulated duty as one owed to persons in vicinity of SWIS to take reasonable care to avoid or minimise risk of injury, and loss to property, from ignition and spread of fire in connection with delivery of electricity through distribution system – Where Court of Appeal held WP had breached duty by failing to have system in place to respond to risk of harm and apportioned liability for losses 50% as to </w:t>
      </w:r>
      <w:r>
        <w:t>W</w:t>
      </w:r>
      <w:r w:rsidRPr="000940D2">
        <w:t xml:space="preserve">P, 35% as to Thiess and 15% as to Mrs Campbell – Whether WP, as statutory authority with defined duties, owes common law duty to take reasonable care to avoid fire, discharge of which would oblige WP to exercise discretionary statutory powers in relation to property not owned or controlled </w:t>
      </w:r>
      <w:r w:rsidR="001F5136">
        <w:t xml:space="preserve">by WP </w:t>
      </w:r>
      <w:r w:rsidRPr="000940D2">
        <w:t>– Whether duty of care asserted inconsistent with statute – Proper test for inconsistency between common law duty and statutory scheme which regulates statutory authority</w:t>
      </w:r>
      <w:r>
        <w:t xml:space="preserve">. </w:t>
      </w:r>
    </w:p>
    <w:p w14:paraId="60E38F6E" w14:textId="77777777" w:rsidR="00051599" w:rsidRPr="00C32A1D" w:rsidRDefault="00051599" w:rsidP="00051599"/>
    <w:p w14:paraId="17F12122" w14:textId="004667FA" w:rsidR="00051599" w:rsidRDefault="00051599" w:rsidP="00051599">
      <w:r w:rsidRPr="004E7695">
        <w:rPr>
          <w:b/>
        </w:rPr>
        <w:lastRenderedPageBreak/>
        <w:t xml:space="preserve">Appealed from </w:t>
      </w:r>
      <w:r>
        <w:rPr>
          <w:b/>
        </w:rPr>
        <w:t xml:space="preserve">WASC (CA): </w:t>
      </w:r>
      <w:hyperlink r:id="rId112" w:history="1">
        <w:r w:rsidR="001C0B0D" w:rsidRPr="001C0B0D">
          <w:rPr>
            <w:rStyle w:val="Hyperlink"/>
            <w:rFonts w:cs="Verdana"/>
            <w:noProof w:val="0"/>
          </w:rPr>
          <w:t>[2021] WASCA 111</w:t>
        </w:r>
      </w:hyperlink>
      <w:r w:rsidR="00476537">
        <w:t xml:space="preserve">; </w:t>
      </w:r>
      <w:r w:rsidR="00476537" w:rsidRPr="00476537">
        <w:t>(2021) 15 ARLR 1</w:t>
      </w:r>
    </w:p>
    <w:p w14:paraId="0410FF11" w14:textId="77777777" w:rsidR="00476537" w:rsidRPr="00E064DF" w:rsidRDefault="00476537" w:rsidP="00051599"/>
    <w:p w14:paraId="1890D365" w14:textId="77777777" w:rsidR="00051599" w:rsidRPr="002314BE" w:rsidRDefault="000F3638" w:rsidP="00051599">
      <w:hyperlink w:anchor="TOP" w:history="1">
        <w:r w:rsidR="00051599" w:rsidRPr="004E7695">
          <w:rPr>
            <w:rStyle w:val="Hyperlink"/>
            <w:rFonts w:cs="Verdana"/>
            <w:bCs/>
          </w:rPr>
          <w:t>Return to Top</w:t>
        </w:r>
      </w:hyperlink>
    </w:p>
    <w:p w14:paraId="070A8C75" w14:textId="77777777" w:rsidR="00051599" w:rsidRDefault="00051599" w:rsidP="00051599">
      <w:pPr>
        <w:pStyle w:val="Divider2"/>
        <w:pBdr>
          <w:bottom w:val="double" w:sz="6" w:space="0" w:color="auto"/>
        </w:pBdr>
      </w:pPr>
    </w:p>
    <w:p w14:paraId="18503A5A" w14:textId="5020874C" w:rsidR="00051599" w:rsidRPr="004E7695" w:rsidRDefault="00051599" w:rsidP="0074739C">
      <w:pPr>
        <w:sectPr w:rsidR="00051599" w:rsidRPr="004E7695" w:rsidSect="00C20C68">
          <w:headerReference w:type="default" r:id="rId113"/>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8" w:name="_6:_Cases_Not"/>
      <w:bookmarkStart w:id="159" w:name="_7:_Cases_Not"/>
      <w:bookmarkStart w:id="160" w:name="_8:_Cases_Not"/>
      <w:bookmarkStart w:id="161" w:name="_Toc479608277"/>
      <w:bookmarkStart w:id="162" w:name="_Toc10095967"/>
      <w:bookmarkEnd w:id="158"/>
      <w:bookmarkEnd w:id="159"/>
      <w:bookmarkEnd w:id="160"/>
      <w:r w:rsidRPr="004E7695">
        <w:lastRenderedPageBreak/>
        <w:t>7</w:t>
      </w:r>
      <w:r w:rsidR="00AE64B2" w:rsidRPr="004E7695">
        <w:t>: Cases Not Proceeding or Vacated</w:t>
      </w:r>
      <w:bookmarkEnd w:id="143"/>
      <w:bookmarkEnd w:id="144"/>
      <w:bookmarkEnd w:id="145"/>
      <w:bookmarkEnd w:id="161"/>
      <w:bookmarkEnd w:id="162"/>
    </w:p>
    <w:p w14:paraId="6FB15634" w14:textId="77777777" w:rsidR="00647B4C" w:rsidRPr="004E7695" w:rsidRDefault="00647B4C" w:rsidP="00647B4C">
      <w:pPr>
        <w:pStyle w:val="Divider2"/>
        <w:pBdr>
          <w:bottom w:val="double" w:sz="6" w:space="0" w:color="auto"/>
        </w:pBdr>
      </w:pPr>
      <w:bookmarkStart w:id="163" w:name="_Palmer_v_Marcus"/>
      <w:bookmarkStart w:id="164" w:name="_AAR15_v_Minister_1"/>
      <w:bookmarkStart w:id="165" w:name="_The_Maritime_Union"/>
      <w:bookmarkEnd w:id="163"/>
      <w:bookmarkEnd w:id="164"/>
      <w:bookmarkEnd w:id="165"/>
    </w:p>
    <w:p w14:paraId="34FD7579" w14:textId="2A924E8F" w:rsidR="001C6929" w:rsidRDefault="001C6929" w:rsidP="00B15B51">
      <w:pPr>
        <w:pStyle w:val="Body"/>
      </w:pPr>
    </w:p>
    <w:p w14:paraId="74E18DE6" w14:textId="4C29D0F6" w:rsidR="00AC2620" w:rsidRDefault="00AC2620" w:rsidP="00AC2620">
      <w:pPr>
        <w:pStyle w:val="Heading2"/>
      </w:pPr>
      <w:r>
        <w:t xml:space="preserve">Constitutional Law </w:t>
      </w:r>
    </w:p>
    <w:p w14:paraId="02432B3F" w14:textId="77777777" w:rsidR="00AC2620" w:rsidRPr="00AC2620" w:rsidRDefault="00AC2620" w:rsidP="00AC2620"/>
    <w:p w14:paraId="03EAEF90" w14:textId="0FC432E7" w:rsidR="00AC2620" w:rsidRPr="003413F7" w:rsidRDefault="00AC2620" w:rsidP="00AC2620">
      <w:pPr>
        <w:pStyle w:val="Heading3"/>
      </w:pPr>
      <w:bookmarkStart w:id="166" w:name="_Minister_for_Immigration,"/>
      <w:bookmarkEnd w:id="166"/>
      <w:r w:rsidRPr="003413F7">
        <w:t>Minister for Immigration, Citizenship, Migrant Services and Multicultural Affairs &amp; Anor v Montgomery</w:t>
      </w:r>
    </w:p>
    <w:p w14:paraId="66F52234" w14:textId="77777777" w:rsidR="00AC2620" w:rsidRDefault="000F3638" w:rsidP="00AC2620">
      <w:hyperlink r:id="rId114" w:history="1">
        <w:r w:rsidR="00AC2620" w:rsidRPr="003413F7">
          <w:rPr>
            <w:rStyle w:val="Hyperlink"/>
            <w:rFonts w:cs="Verdana"/>
            <w:b/>
            <w:noProof w:val="0"/>
          </w:rPr>
          <w:t>S192/2021</w:t>
        </w:r>
      </w:hyperlink>
      <w:hyperlink r:id="rId115" w:history="1"/>
      <w:r w:rsidR="00AC2620" w:rsidRPr="00D0009F">
        <w:rPr>
          <w:b/>
        </w:rPr>
        <w:t>:</w:t>
      </w:r>
      <w:r w:rsidR="00AC2620">
        <w:rPr>
          <w:b/>
        </w:rPr>
        <w:t xml:space="preserve"> </w:t>
      </w:r>
      <w:hyperlink r:id="rId116" w:history="1">
        <w:r w:rsidR="00AC2620" w:rsidRPr="006F1472">
          <w:rPr>
            <w:rStyle w:val="Hyperlink"/>
            <w:rFonts w:cs="Verdana"/>
            <w:noProof w:val="0"/>
          </w:rPr>
          <w:t xml:space="preserve">[2022] </w:t>
        </w:r>
        <w:proofErr w:type="spellStart"/>
        <w:r w:rsidR="00AC2620" w:rsidRPr="006F1472">
          <w:rPr>
            <w:rStyle w:val="Hyperlink"/>
            <w:rFonts w:cs="Verdana"/>
            <w:noProof w:val="0"/>
          </w:rPr>
          <w:t>HCATrans</w:t>
        </w:r>
        <w:proofErr w:type="spellEnd"/>
        <w:r w:rsidR="00AC2620" w:rsidRPr="006F1472">
          <w:rPr>
            <w:rStyle w:val="Hyperlink"/>
            <w:rFonts w:cs="Verdana"/>
            <w:noProof w:val="0"/>
          </w:rPr>
          <w:t xml:space="preserve"> 51</w:t>
        </w:r>
      </w:hyperlink>
      <w:r w:rsidR="00AC2620">
        <w:t xml:space="preserve">; </w:t>
      </w:r>
      <w:hyperlink r:id="rId117" w:history="1">
        <w:r w:rsidR="00AC2620" w:rsidRPr="006F1472">
          <w:rPr>
            <w:rStyle w:val="Hyperlink"/>
            <w:rFonts w:cs="Verdana"/>
            <w:noProof w:val="0"/>
          </w:rPr>
          <w:t xml:space="preserve">[2022] </w:t>
        </w:r>
        <w:proofErr w:type="spellStart"/>
        <w:r w:rsidR="00AC2620" w:rsidRPr="006F1472">
          <w:rPr>
            <w:rStyle w:val="Hyperlink"/>
            <w:rFonts w:cs="Verdana"/>
            <w:noProof w:val="0"/>
          </w:rPr>
          <w:t>HCATrans</w:t>
        </w:r>
        <w:proofErr w:type="spellEnd"/>
        <w:r w:rsidR="00AC2620" w:rsidRPr="006F1472">
          <w:rPr>
            <w:rStyle w:val="Hyperlink"/>
            <w:rFonts w:cs="Verdana"/>
            <w:noProof w:val="0"/>
          </w:rPr>
          <w:t xml:space="preserve"> 52</w:t>
        </w:r>
      </w:hyperlink>
    </w:p>
    <w:p w14:paraId="652E1C40" w14:textId="77777777" w:rsidR="00AC2620" w:rsidRDefault="00AC2620" w:rsidP="00AC2620"/>
    <w:p w14:paraId="34FEAAA7" w14:textId="77777777" w:rsidR="00AC2620" w:rsidRDefault="00AC2620" w:rsidP="00AC2620">
      <w:r w:rsidRPr="00FD4C45">
        <w:rPr>
          <w:b/>
        </w:rPr>
        <w:t xml:space="preserve">Date heard: </w:t>
      </w:r>
      <w:r>
        <w:rPr>
          <w:bCs/>
        </w:rPr>
        <w:t xml:space="preserve">6 and 7 April 2022 </w:t>
      </w:r>
    </w:p>
    <w:p w14:paraId="28E5959F" w14:textId="77777777" w:rsidR="00AC2620" w:rsidRDefault="00AC2620" w:rsidP="00AC2620"/>
    <w:p w14:paraId="0AA9BD25" w14:textId="77777777" w:rsidR="00AC2620" w:rsidRPr="00BB0EF9" w:rsidRDefault="00AC2620" w:rsidP="00AC2620">
      <w:pPr>
        <w:rPr>
          <w:i/>
        </w:rPr>
      </w:pPr>
      <w:r>
        <w:rPr>
          <w:b/>
        </w:rPr>
        <w:t xml:space="preserve">Coram: </w:t>
      </w:r>
      <w:r>
        <w:t>Kiefel CJ, Gageler, Keane, Gordon, Edelman, Steward and Gleeson JJ</w:t>
      </w:r>
    </w:p>
    <w:p w14:paraId="2CC9F9C0" w14:textId="77777777" w:rsidR="00AC2620" w:rsidRPr="004E7695" w:rsidRDefault="00AC2620" w:rsidP="00AC2620"/>
    <w:p w14:paraId="5B7F1543" w14:textId="77777777" w:rsidR="00AC2620" w:rsidRPr="004E7695" w:rsidRDefault="00AC2620" w:rsidP="00AC2620">
      <w:pPr>
        <w:rPr>
          <w:b/>
        </w:rPr>
      </w:pPr>
      <w:r w:rsidRPr="004E7695">
        <w:rPr>
          <w:b/>
        </w:rPr>
        <w:t>Catchwords:</w:t>
      </w:r>
    </w:p>
    <w:p w14:paraId="355F955D" w14:textId="77777777" w:rsidR="00AC2620" w:rsidRPr="004E7695" w:rsidRDefault="00AC2620" w:rsidP="00AC2620">
      <w:pPr>
        <w:rPr>
          <w:b/>
        </w:rPr>
      </w:pPr>
    </w:p>
    <w:p w14:paraId="2EF1EB73" w14:textId="77777777" w:rsidR="00AC2620" w:rsidRDefault="00AC2620" w:rsidP="00AC2620">
      <w:pPr>
        <w:ind w:left="720"/>
      </w:pPr>
      <w:r>
        <w:t>Constitutional law – Aliens power – Immigration detention – Indigenous Australians – Where applicant born in and citizen of New Zealand and not Australian citizen – Where applicant's parents and ancestors not Aboriginal Australian or Torres Strait Islanders – Where applicant granted visa to live in Australia in 1997 – Where Mununjali people Indigenous society existing in Australia since prior to 1788 – Where applicant identifies as member of Mununjali people, recognised by Mununjali elders and by Mununjali traditional law and customs as such – Where, in 2018, applicant's  visa cancelled – Where in 2019, applicant taken into immigration detention – Where,</w:t>
      </w:r>
      <w:r w:rsidRPr="00E55BDE">
        <w:t xml:space="preserve"> </w:t>
      </w:r>
      <w:r>
        <w:t xml:space="preserve">in </w:t>
      </w:r>
      <w:r>
        <w:rPr>
          <w:i/>
        </w:rPr>
        <w:t xml:space="preserve">Love v Commonwealth; </w:t>
      </w:r>
      <w:proofErr w:type="spellStart"/>
      <w:r>
        <w:rPr>
          <w:i/>
        </w:rPr>
        <w:t>Thoms</w:t>
      </w:r>
      <w:proofErr w:type="spellEnd"/>
      <w:r>
        <w:rPr>
          <w:i/>
        </w:rPr>
        <w:t xml:space="preserve"> v Commonwealth</w:t>
      </w:r>
      <w:r>
        <w:t xml:space="preserve"> [2020] HCA 3, majority of High Court held Aboriginal Australian who satisfies tripartite test identified in </w:t>
      </w:r>
      <w:r>
        <w:rPr>
          <w:i/>
        </w:rPr>
        <w:t xml:space="preserve">Mabo v Queensland (No 2) </w:t>
      </w:r>
      <w:r>
        <w:t xml:space="preserve">(1992) 175 CLR 1 beyond reach of aliens power in s 51(xix) of </w:t>
      </w:r>
      <w:r>
        <w:rPr>
          <w:i/>
        </w:rPr>
        <w:t xml:space="preserve">Constitution </w:t>
      </w:r>
      <w:r>
        <w:t xml:space="preserve">– Where applicant commenced proceedings in Federal Court of Australia, relevantly seeking declaration not alien within meaning of s 51(xix) following </w:t>
      </w:r>
      <w:r>
        <w:rPr>
          <w:i/>
        </w:rPr>
        <w:t>Love/</w:t>
      </w:r>
      <w:proofErr w:type="spellStart"/>
      <w:r>
        <w:rPr>
          <w:i/>
        </w:rPr>
        <w:t>Thoms</w:t>
      </w:r>
      <w:proofErr w:type="spellEnd"/>
      <w:r>
        <w:t xml:space="preserve"> – Whether decision in </w:t>
      </w:r>
      <w:r>
        <w:rPr>
          <w:i/>
        </w:rPr>
        <w:t>Love/</w:t>
      </w:r>
      <w:proofErr w:type="spellStart"/>
      <w:r>
        <w:rPr>
          <w:i/>
        </w:rPr>
        <w:t>Thoms</w:t>
      </w:r>
      <w:proofErr w:type="spellEnd"/>
      <w:r>
        <w:rPr>
          <w:i/>
        </w:rPr>
        <w:t xml:space="preserve"> </w:t>
      </w:r>
      <w:r>
        <w:rPr>
          <w:iCs/>
        </w:rPr>
        <w:t xml:space="preserve">should </w:t>
      </w:r>
      <w:r>
        <w:t xml:space="preserve">be overturned – Whether applicant satisfies tripartite test despite not being biologically descended from Indigenous people – Whether applicant alien. </w:t>
      </w:r>
    </w:p>
    <w:p w14:paraId="11E26C61" w14:textId="77777777" w:rsidR="00AC2620" w:rsidRDefault="00AC2620" w:rsidP="00AC2620">
      <w:pPr>
        <w:ind w:left="720"/>
      </w:pPr>
    </w:p>
    <w:p w14:paraId="3664714C" w14:textId="77777777" w:rsidR="00AC2620" w:rsidRPr="00C31E6B" w:rsidRDefault="00AC2620" w:rsidP="00AC2620">
      <w:pPr>
        <w:ind w:left="720"/>
      </w:pPr>
      <w:r>
        <w:t xml:space="preserve">Courts – Jurisdiction – </w:t>
      </w:r>
      <w:r>
        <w:softHyphen/>
        <w:t xml:space="preserve">Appeal from single judge of Federal Court of Australia – Habeas corpus – Competent court – Where appellate jurisdiction of Federal Court defined by s 24(1)(a) of </w:t>
      </w:r>
      <w:r>
        <w:rPr>
          <w:i/>
          <w:iCs/>
        </w:rPr>
        <w:t>Federal Court of Australia Act 1976</w:t>
      </w:r>
      <w:r>
        <w:t xml:space="preserve"> (Cth) – Where cause removed was appeal to Full Court of Federal Court from orders of single judge – Where single judge exercised original jurisdiction, relevantly issuing writ of habeas corpus – Whether appeal lies from order for issue of writ of habeas corpus. </w:t>
      </w:r>
    </w:p>
    <w:p w14:paraId="465B42F5" w14:textId="77777777" w:rsidR="00AC2620" w:rsidRDefault="00AC2620" w:rsidP="00AC2620"/>
    <w:p w14:paraId="36247C62" w14:textId="7B424840" w:rsidR="00AC2620" w:rsidRDefault="00AC2620" w:rsidP="00AC2620">
      <w:r>
        <w:rPr>
          <w:i/>
        </w:rPr>
        <w:t>Removed from the Federal Court of Australia</w:t>
      </w:r>
      <w:r>
        <w:t xml:space="preserve">. </w:t>
      </w:r>
    </w:p>
    <w:p w14:paraId="38DACC1E" w14:textId="3CD560F5" w:rsidR="00AC2620" w:rsidRDefault="00AC2620" w:rsidP="00AC2620"/>
    <w:p w14:paraId="60F56A79" w14:textId="6B9340B2" w:rsidR="00AC2620" w:rsidRPr="00AC2620" w:rsidRDefault="00AC2620" w:rsidP="00AC2620">
      <w:pPr>
        <w:rPr>
          <w:rFonts w:ascii="Calibri" w:hAnsi="Calibri" w:cs="Calibri"/>
          <w:b/>
          <w:bCs/>
          <w:i/>
          <w:iCs/>
        </w:rPr>
      </w:pPr>
      <w:r>
        <w:rPr>
          <w:b/>
          <w:bCs/>
          <w:i/>
          <w:iCs/>
        </w:rPr>
        <w:t>Matter discontinued on 28 July 2022.</w:t>
      </w:r>
    </w:p>
    <w:p w14:paraId="66166343" w14:textId="77777777" w:rsidR="00AC2620" w:rsidRDefault="00AC2620" w:rsidP="00B15B51">
      <w:pPr>
        <w:pStyle w:val="Body"/>
      </w:pPr>
    </w:p>
    <w:p w14:paraId="0410D8C2" w14:textId="77777777" w:rsidR="00B15B51" w:rsidRDefault="00B15B51" w:rsidP="00B15B51">
      <w:pPr>
        <w:pStyle w:val="Body"/>
      </w:pPr>
      <w:r>
        <w:rPr>
          <w:rStyle w:val="Link"/>
          <w:rFonts w:eastAsia="Arial Unicode MS" w:cs="Arial Unicode MS"/>
          <w:lang w:val="en-US"/>
        </w:rPr>
        <w:t>Return to Top</w:t>
      </w:r>
    </w:p>
    <w:p w14:paraId="15584F90" w14:textId="77777777" w:rsidR="00B15B51" w:rsidRDefault="00B15B51" w:rsidP="00B15B51">
      <w:pPr>
        <w:pStyle w:val="Divider2"/>
      </w:pPr>
    </w:p>
    <w:p w14:paraId="754E6B05" w14:textId="221E8AF7" w:rsidR="00F0759C" w:rsidRPr="004E7695" w:rsidRDefault="00F0759C" w:rsidP="00955B41">
      <w:pPr>
        <w:sectPr w:rsidR="00F0759C" w:rsidRPr="004E7695" w:rsidSect="000F39D5">
          <w:headerReference w:type="default" r:id="rId118"/>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7" w:name="_8:_Special_Leave"/>
      <w:bookmarkStart w:id="168" w:name="_Toc270610026"/>
      <w:bookmarkStart w:id="169" w:name="_Ref474848474"/>
      <w:bookmarkStart w:id="170" w:name="_Toc479608278"/>
      <w:bookmarkStart w:id="171" w:name="_Toc10095968"/>
      <w:bookmarkEnd w:id="167"/>
      <w:r w:rsidRPr="004E7695">
        <w:lastRenderedPageBreak/>
        <w:t>8</w:t>
      </w:r>
      <w:r w:rsidR="00AE64B2" w:rsidRPr="004E7695">
        <w:t xml:space="preserve">: Special Leave </w:t>
      </w:r>
      <w:bookmarkEnd w:id="168"/>
      <w:r w:rsidR="00B33F9A" w:rsidRPr="004E7695">
        <w:t>Refused</w:t>
      </w:r>
      <w:bookmarkEnd w:id="169"/>
      <w:bookmarkEnd w:id="170"/>
      <w:bookmarkEnd w:id="171"/>
    </w:p>
    <w:p w14:paraId="4BD00F26" w14:textId="77777777" w:rsidR="00EE019B" w:rsidRPr="004E7695" w:rsidRDefault="00EE019B" w:rsidP="00EE019B">
      <w:pPr>
        <w:pStyle w:val="Divider2"/>
      </w:pPr>
    </w:p>
    <w:p w14:paraId="07E20CF5" w14:textId="77777777" w:rsidR="00933788" w:rsidRDefault="00933788" w:rsidP="00933788"/>
    <w:p w14:paraId="0617D8EA" w14:textId="5B3A1163"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E71766">
        <w:rPr>
          <w:rFonts w:ascii="Arial" w:hAnsi="Arial" w:cs="Arial"/>
          <w:b/>
          <w:sz w:val="28"/>
          <w:szCs w:val="28"/>
        </w:rPr>
        <w:t>11 August</w:t>
      </w:r>
      <w:r w:rsidR="0076188B" w:rsidRPr="002E2CD9">
        <w:rPr>
          <w:rFonts w:ascii="Arial" w:hAnsi="Arial" w:cs="Arial"/>
          <w:b/>
          <w:sz w:val="28"/>
          <w:szCs w:val="28"/>
        </w:rPr>
        <w:t xml:space="preserve"> 2022</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E71766" w:rsidRPr="00CC46E9" w14:paraId="0F455564" w14:textId="77777777" w:rsidTr="005B5B92">
        <w:trPr>
          <w:cantSplit/>
          <w:trHeight w:val="400"/>
        </w:trPr>
        <w:tc>
          <w:tcPr>
            <w:tcW w:w="567" w:type="dxa"/>
          </w:tcPr>
          <w:p w14:paraId="21524B69" w14:textId="77777777" w:rsidR="00E71766" w:rsidRPr="00CC46E9" w:rsidRDefault="00E71766" w:rsidP="00E71766">
            <w:pPr>
              <w:pStyle w:val="ListParagraph"/>
              <w:keepLines/>
              <w:numPr>
                <w:ilvl w:val="0"/>
                <w:numId w:val="42"/>
              </w:numPr>
              <w:spacing w:before="120"/>
              <w:jc w:val="right"/>
              <w:rPr>
                <w:rFonts w:ascii="Arial" w:hAnsi="Arial" w:cs="Arial"/>
                <w:color w:val="000000"/>
                <w:sz w:val="18"/>
              </w:rPr>
            </w:pPr>
          </w:p>
        </w:tc>
        <w:tc>
          <w:tcPr>
            <w:tcW w:w="1913" w:type="dxa"/>
          </w:tcPr>
          <w:p w14:paraId="6D23ACF8" w14:textId="4DEF167D" w:rsidR="00E71766" w:rsidRPr="00227F77" w:rsidRDefault="00E71766" w:rsidP="00E71766">
            <w:pPr>
              <w:keepLines/>
              <w:spacing w:before="120"/>
              <w:jc w:val="left"/>
              <w:rPr>
                <w:rFonts w:ascii="Arial" w:hAnsi="Arial" w:cs="Arial"/>
                <w:color w:val="000000"/>
                <w:sz w:val="18"/>
                <w:szCs w:val="18"/>
              </w:rPr>
            </w:pPr>
            <w:proofErr w:type="spellStart"/>
            <w:r>
              <w:rPr>
                <w:rFonts w:ascii="Arial" w:hAnsi="Arial" w:cs="Arial"/>
                <w:color w:val="000000"/>
                <w:sz w:val="18"/>
                <w:szCs w:val="18"/>
              </w:rPr>
              <w:t>Pascall</w:t>
            </w:r>
            <w:proofErr w:type="spellEnd"/>
          </w:p>
        </w:tc>
        <w:tc>
          <w:tcPr>
            <w:tcW w:w="1914" w:type="dxa"/>
          </w:tcPr>
          <w:p w14:paraId="0CAF9E48" w14:textId="683EA514" w:rsidR="00E71766" w:rsidRPr="00227F77"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Heath &amp; Anor </w:t>
            </w:r>
            <w:r>
              <w:rPr>
                <w:rFonts w:ascii="Arial" w:hAnsi="Arial" w:cs="Arial"/>
                <w:color w:val="000000"/>
                <w:sz w:val="18"/>
                <w:szCs w:val="18"/>
              </w:rPr>
              <w:br/>
              <w:t xml:space="preserve">(B14/2022) </w:t>
            </w:r>
          </w:p>
        </w:tc>
        <w:tc>
          <w:tcPr>
            <w:tcW w:w="1914" w:type="dxa"/>
          </w:tcPr>
          <w:p w14:paraId="4857F11E" w14:textId="464FF124"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Federal Circuit Court and Family Court of Australia </w:t>
            </w:r>
            <w:r>
              <w:rPr>
                <w:rFonts w:ascii="Arial" w:hAnsi="Arial" w:cs="Arial"/>
                <w:color w:val="000000"/>
                <w:sz w:val="18"/>
                <w:szCs w:val="18"/>
              </w:rPr>
              <w:br/>
              <w:t xml:space="preserve">(Division 1) </w:t>
            </w:r>
            <w:r>
              <w:rPr>
                <w:rFonts w:ascii="Arial" w:hAnsi="Arial" w:cs="Arial"/>
                <w:color w:val="000000"/>
                <w:sz w:val="18"/>
                <w:szCs w:val="18"/>
              </w:rPr>
              <w:br/>
            </w:r>
          </w:p>
        </w:tc>
        <w:tc>
          <w:tcPr>
            <w:tcW w:w="1914" w:type="dxa"/>
          </w:tcPr>
          <w:p w14:paraId="70C9F83E" w14:textId="153350A5"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19" w:history="1">
              <w:r w:rsidRPr="00E71766">
                <w:rPr>
                  <w:rStyle w:val="Hyperlink"/>
                  <w:rFonts w:ascii="Arial" w:hAnsi="Arial"/>
                  <w:noProof w:val="0"/>
                  <w:sz w:val="18"/>
                  <w:szCs w:val="18"/>
                </w:rPr>
                <w:t>[2022] HCASL 121</w:t>
              </w:r>
            </w:hyperlink>
          </w:p>
        </w:tc>
      </w:tr>
      <w:tr w:rsidR="00E71766" w:rsidRPr="00CC46E9" w14:paraId="4C014CFB" w14:textId="77777777" w:rsidTr="005B5B92">
        <w:trPr>
          <w:cantSplit/>
          <w:trHeight w:val="400"/>
        </w:trPr>
        <w:tc>
          <w:tcPr>
            <w:tcW w:w="567" w:type="dxa"/>
          </w:tcPr>
          <w:p w14:paraId="054D8537" w14:textId="77777777" w:rsidR="00E71766" w:rsidRPr="00CC46E9" w:rsidRDefault="00E71766" w:rsidP="00E71766">
            <w:pPr>
              <w:pStyle w:val="ListParagraph"/>
              <w:keepLines/>
              <w:numPr>
                <w:ilvl w:val="0"/>
                <w:numId w:val="42"/>
              </w:numPr>
              <w:spacing w:before="120"/>
              <w:jc w:val="right"/>
              <w:rPr>
                <w:rFonts w:ascii="Arial" w:hAnsi="Arial" w:cs="Arial"/>
                <w:color w:val="000000"/>
                <w:sz w:val="18"/>
              </w:rPr>
            </w:pPr>
          </w:p>
        </w:tc>
        <w:tc>
          <w:tcPr>
            <w:tcW w:w="1913" w:type="dxa"/>
          </w:tcPr>
          <w:p w14:paraId="09FC3127" w14:textId="3122AC1C" w:rsidR="00E71766" w:rsidRPr="00227F77"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CDN16 </w:t>
            </w:r>
          </w:p>
        </w:tc>
        <w:tc>
          <w:tcPr>
            <w:tcW w:w="1914" w:type="dxa"/>
          </w:tcPr>
          <w:p w14:paraId="1A317FC5" w14:textId="77777777"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Ors</w:t>
            </w:r>
          </w:p>
          <w:p w14:paraId="77FF7AFC" w14:textId="77777777"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(M15/2022) </w:t>
            </w:r>
          </w:p>
          <w:p w14:paraId="2AF6520D" w14:textId="2B43117E" w:rsidR="00E71766" w:rsidRPr="00227F77" w:rsidRDefault="00E71766" w:rsidP="00E71766">
            <w:pPr>
              <w:keepLines/>
              <w:spacing w:before="120"/>
              <w:jc w:val="left"/>
              <w:rPr>
                <w:rFonts w:ascii="Arial" w:hAnsi="Arial" w:cs="Arial"/>
                <w:color w:val="000000"/>
                <w:sz w:val="18"/>
                <w:szCs w:val="18"/>
              </w:rPr>
            </w:pPr>
          </w:p>
        </w:tc>
        <w:tc>
          <w:tcPr>
            <w:tcW w:w="1914" w:type="dxa"/>
          </w:tcPr>
          <w:p w14:paraId="46B68EFE" w14:textId="1F1E0E42"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[2021] FCA 699</w:t>
            </w:r>
            <w:r>
              <w:rPr>
                <w:rFonts w:ascii="Arial" w:hAnsi="Arial" w:cs="Arial"/>
                <w:color w:val="000000"/>
                <w:sz w:val="18"/>
                <w:szCs w:val="18"/>
              </w:rPr>
              <w:br/>
            </w:r>
          </w:p>
        </w:tc>
        <w:tc>
          <w:tcPr>
            <w:tcW w:w="1914" w:type="dxa"/>
          </w:tcPr>
          <w:p w14:paraId="6498910B" w14:textId="62A5F716"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0" w:history="1">
              <w:r w:rsidRPr="00E71766">
                <w:rPr>
                  <w:rStyle w:val="Hyperlink"/>
                  <w:rFonts w:ascii="Arial" w:hAnsi="Arial"/>
                  <w:noProof w:val="0"/>
                  <w:sz w:val="18"/>
                  <w:szCs w:val="18"/>
                </w:rPr>
                <w:t>[2022] HCASL 122</w:t>
              </w:r>
            </w:hyperlink>
          </w:p>
        </w:tc>
      </w:tr>
      <w:tr w:rsidR="00E71766" w:rsidRPr="00CC46E9" w14:paraId="7177BAD2" w14:textId="77777777" w:rsidTr="005B5B92">
        <w:trPr>
          <w:cantSplit/>
          <w:trHeight w:val="400"/>
        </w:trPr>
        <w:tc>
          <w:tcPr>
            <w:tcW w:w="567" w:type="dxa"/>
          </w:tcPr>
          <w:p w14:paraId="5FC204AE" w14:textId="77777777" w:rsidR="00E71766" w:rsidRPr="00CC46E9" w:rsidRDefault="00E71766" w:rsidP="00E71766">
            <w:pPr>
              <w:pStyle w:val="ListParagraph"/>
              <w:keepLines/>
              <w:numPr>
                <w:ilvl w:val="0"/>
                <w:numId w:val="42"/>
              </w:numPr>
              <w:spacing w:before="120"/>
              <w:jc w:val="right"/>
              <w:rPr>
                <w:rFonts w:ascii="Arial" w:hAnsi="Arial" w:cs="Arial"/>
                <w:color w:val="000000"/>
                <w:sz w:val="18"/>
              </w:rPr>
            </w:pPr>
          </w:p>
        </w:tc>
        <w:tc>
          <w:tcPr>
            <w:tcW w:w="1913" w:type="dxa"/>
          </w:tcPr>
          <w:p w14:paraId="313A81A5" w14:textId="6143E36D" w:rsidR="00E71766" w:rsidRPr="00227F77"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Singh</w:t>
            </w:r>
          </w:p>
        </w:tc>
        <w:tc>
          <w:tcPr>
            <w:tcW w:w="1914" w:type="dxa"/>
          </w:tcPr>
          <w:p w14:paraId="2C8C6924" w14:textId="6E7F15F1" w:rsidR="00E71766" w:rsidRPr="00227F77"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Khan &amp; Ors</w:t>
            </w:r>
            <w:r>
              <w:rPr>
                <w:rFonts w:ascii="Arial" w:hAnsi="Arial" w:cs="Arial"/>
                <w:color w:val="000000"/>
                <w:sz w:val="18"/>
                <w:szCs w:val="18"/>
              </w:rPr>
              <w:br/>
              <w:t xml:space="preserve">(S52/2022) </w:t>
            </w:r>
          </w:p>
        </w:tc>
        <w:tc>
          <w:tcPr>
            <w:tcW w:w="1914" w:type="dxa"/>
          </w:tcPr>
          <w:p w14:paraId="287A5B75" w14:textId="283EB17E"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(Unreported)</w:t>
            </w:r>
          </w:p>
          <w:p w14:paraId="21AA4786" w14:textId="1453FAEC" w:rsidR="00E71766" w:rsidRDefault="00E71766" w:rsidP="00E71766">
            <w:pPr>
              <w:keepLines/>
              <w:spacing w:before="120"/>
              <w:jc w:val="left"/>
              <w:rPr>
                <w:rFonts w:ascii="Arial" w:hAnsi="Arial" w:cs="Arial"/>
                <w:color w:val="000000"/>
                <w:sz w:val="18"/>
                <w:szCs w:val="18"/>
              </w:rPr>
            </w:pPr>
          </w:p>
        </w:tc>
        <w:tc>
          <w:tcPr>
            <w:tcW w:w="1914" w:type="dxa"/>
          </w:tcPr>
          <w:p w14:paraId="1C86910F" w14:textId="4C31463E"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1" w:history="1">
              <w:r w:rsidRPr="00E71766">
                <w:rPr>
                  <w:rStyle w:val="Hyperlink"/>
                  <w:rFonts w:ascii="Arial" w:hAnsi="Arial"/>
                  <w:noProof w:val="0"/>
                  <w:sz w:val="18"/>
                  <w:szCs w:val="18"/>
                </w:rPr>
                <w:t>[2022] HCASL 123</w:t>
              </w:r>
            </w:hyperlink>
          </w:p>
        </w:tc>
      </w:tr>
      <w:tr w:rsidR="00E71766" w:rsidRPr="00CC46E9" w14:paraId="2AEB55CB" w14:textId="77777777" w:rsidTr="005B5B92">
        <w:trPr>
          <w:cantSplit/>
          <w:trHeight w:val="400"/>
        </w:trPr>
        <w:tc>
          <w:tcPr>
            <w:tcW w:w="567" w:type="dxa"/>
          </w:tcPr>
          <w:p w14:paraId="62BC0567" w14:textId="77777777" w:rsidR="00E71766" w:rsidRPr="00CC46E9" w:rsidRDefault="00E71766" w:rsidP="00E71766">
            <w:pPr>
              <w:pStyle w:val="ListParagraph"/>
              <w:keepLines/>
              <w:numPr>
                <w:ilvl w:val="0"/>
                <w:numId w:val="42"/>
              </w:numPr>
              <w:spacing w:before="120"/>
              <w:jc w:val="right"/>
              <w:rPr>
                <w:rFonts w:ascii="Arial" w:hAnsi="Arial" w:cs="Arial"/>
                <w:color w:val="000000"/>
                <w:sz w:val="18"/>
              </w:rPr>
            </w:pPr>
          </w:p>
        </w:tc>
        <w:tc>
          <w:tcPr>
            <w:tcW w:w="1913" w:type="dxa"/>
          </w:tcPr>
          <w:p w14:paraId="62282F03" w14:textId="78D65B50" w:rsidR="00E71766" w:rsidRPr="00227F77"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Singh</w:t>
            </w:r>
          </w:p>
        </w:tc>
        <w:tc>
          <w:tcPr>
            <w:tcW w:w="1914" w:type="dxa"/>
          </w:tcPr>
          <w:p w14:paraId="3AA063D3" w14:textId="07DA1519" w:rsidR="00E71766" w:rsidRPr="00227F77"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Khan &amp; Ors</w:t>
            </w:r>
            <w:r>
              <w:rPr>
                <w:rFonts w:ascii="Arial" w:hAnsi="Arial" w:cs="Arial"/>
                <w:color w:val="000000"/>
                <w:sz w:val="18"/>
                <w:szCs w:val="18"/>
              </w:rPr>
              <w:br/>
              <w:t xml:space="preserve">(S54/2022) </w:t>
            </w:r>
          </w:p>
        </w:tc>
        <w:tc>
          <w:tcPr>
            <w:tcW w:w="1914" w:type="dxa"/>
          </w:tcPr>
          <w:p w14:paraId="54895088" w14:textId="045C20C7"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(Unreported)</w:t>
            </w:r>
          </w:p>
          <w:p w14:paraId="36227869" w14:textId="004D6A45" w:rsidR="00E71766" w:rsidRDefault="00E71766" w:rsidP="00E71766">
            <w:pPr>
              <w:keepLines/>
              <w:spacing w:before="120"/>
              <w:jc w:val="left"/>
              <w:rPr>
                <w:rFonts w:ascii="Arial" w:hAnsi="Arial" w:cs="Arial"/>
                <w:color w:val="000000"/>
                <w:sz w:val="18"/>
                <w:szCs w:val="18"/>
              </w:rPr>
            </w:pPr>
          </w:p>
        </w:tc>
        <w:tc>
          <w:tcPr>
            <w:tcW w:w="1914" w:type="dxa"/>
          </w:tcPr>
          <w:p w14:paraId="6372170E" w14:textId="02ABD83C"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2" w:history="1">
              <w:r w:rsidRPr="00E71766">
                <w:rPr>
                  <w:rStyle w:val="Hyperlink"/>
                  <w:rFonts w:ascii="Arial" w:hAnsi="Arial"/>
                  <w:noProof w:val="0"/>
                  <w:sz w:val="18"/>
                  <w:szCs w:val="18"/>
                </w:rPr>
                <w:t>[2022] HCASL 123</w:t>
              </w:r>
            </w:hyperlink>
          </w:p>
        </w:tc>
      </w:tr>
      <w:tr w:rsidR="00E71766" w:rsidRPr="00CC46E9" w14:paraId="5338C2AB" w14:textId="77777777" w:rsidTr="005B5B92">
        <w:trPr>
          <w:cantSplit/>
          <w:trHeight w:val="400"/>
        </w:trPr>
        <w:tc>
          <w:tcPr>
            <w:tcW w:w="567" w:type="dxa"/>
          </w:tcPr>
          <w:p w14:paraId="28F60AD5" w14:textId="77777777" w:rsidR="00E71766" w:rsidRPr="00CC46E9" w:rsidRDefault="00E71766" w:rsidP="00E71766">
            <w:pPr>
              <w:pStyle w:val="ListParagraph"/>
              <w:keepLines/>
              <w:numPr>
                <w:ilvl w:val="0"/>
                <w:numId w:val="42"/>
              </w:numPr>
              <w:spacing w:before="120"/>
              <w:jc w:val="right"/>
              <w:rPr>
                <w:rFonts w:ascii="Arial" w:hAnsi="Arial" w:cs="Arial"/>
                <w:color w:val="000000"/>
                <w:sz w:val="18"/>
              </w:rPr>
            </w:pPr>
          </w:p>
        </w:tc>
        <w:tc>
          <w:tcPr>
            <w:tcW w:w="1913" w:type="dxa"/>
          </w:tcPr>
          <w:p w14:paraId="020A4342" w14:textId="57234687" w:rsidR="00E71766" w:rsidRPr="00227F77" w:rsidRDefault="00E71766" w:rsidP="00E71766">
            <w:pPr>
              <w:keepLines/>
              <w:spacing w:before="120"/>
              <w:jc w:val="left"/>
              <w:rPr>
                <w:rFonts w:ascii="Arial" w:hAnsi="Arial" w:cs="Arial"/>
                <w:color w:val="000000"/>
                <w:sz w:val="18"/>
                <w:szCs w:val="18"/>
              </w:rPr>
            </w:pPr>
            <w:r w:rsidRPr="00E71766">
              <w:rPr>
                <w:rFonts w:ascii="Arial" w:hAnsi="Arial" w:cs="Arial"/>
                <w:color w:val="000000"/>
                <w:sz w:val="18"/>
                <w:szCs w:val="18"/>
              </w:rPr>
              <w:t>Matthews</w:t>
            </w:r>
          </w:p>
        </w:tc>
        <w:tc>
          <w:tcPr>
            <w:tcW w:w="1914" w:type="dxa"/>
          </w:tcPr>
          <w:p w14:paraId="5EC2DF17" w14:textId="3C94ACB5" w:rsidR="00E71766" w:rsidRPr="00227F77"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Norris</w:t>
            </w:r>
            <w:r>
              <w:rPr>
                <w:rFonts w:ascii="Arial" w:hAnsi="Arial" w:cs="Arial"/>
                <w:color w:val="000000"/>
                <w:sz w:val="18"/>
                <w:szCs w:val="18"/>
              </w:rPr>
              <w:br/>
              <w:t>(M18/2022)</w:t>
            </w:r>
          </w:p>
        </w:tc>
        <w:tc>
          <w:tcPr>
            <w:tcW w:w="1914" w:type="dxa"/>
          </w:tcPr>
          <w:p w14:paraId="74F56453" w14:textId="77DAEA53"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 xml:space="preserve">Federal Circuit Court and Family Court of Australia </w:t>
            </w:r>
            <w:r>
              <w:rPr>
                <w:rFonts w:ascii="Arial" w:hAnsi="Arial" w:cs="Arial"/>
                <w:color w:val="000000"/>
                <w:sz w:val="18"/>
                <w:szCs w:val="18"/>
              </w:rPr>
              <w:br/>
              <w:t xml:space="preserve">(Division 1) </w:t>
            </w:r>
          </w:p>
        </w:tc>
        <w:tc>
          <w:tcPr>
            <w:tcW w:w="1914" w:type="dxa"/>
          </w:tcPr>
          <w:p w14:paraId="0516B55F" w14:textId="7FD71C91" w:rsidR="00E71766" w:rsidRDefault="00E71766" w:rsidP="00E71766">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23" w:history="1">
              <w:r w:rsidRPr="00E71766">
                <w:rPr>
                  <w:rStyle w:val="Hyperlink"/>
                  <w:rFonts w:ascii="Arial" w:hAnsi="Arial"/>
                  <w:noProof w:val="0"/>
                  <w:sz w:val="18"/>
                  <w:szCs w:val="18"/>
                </w:rPr>
                <w:t>[2022] HCASL 124</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691065E5" w14:textId="5773A138" w:rsidR="00E470EB" w:rsidRPr="002E2CD9" w:rsidRDefault="00E71766" w:rsidP="002E2CD9">
      <w:pPr>
        <w:jc w:val="left"/>
        <w:rPr>
          <w:rFonts w:ascii="Arial" w:hAnsi="Arial" w:cs="Arial"/>
          <w:b/>
          <w:sz w:val="28"/>
          <w:szCs w:val="28"/>
        </w:rPr>
      </w:pPr>
      <w:bookmarkStart w:id="172" w:name="_Hlk112128210"/>
      <w:r w:rsidRPr="00E71766">
        <w:rPr>
          <w:rFonts w:ascii="Arial" w:hAnsi="Arial" w:cs="Arial"/>
          <w:b/>
          <w:sz w:val="28"/>
          <w:szCs w:val="28"/>
        </w:rPr>
        <w:lastRenderedPageBreak/>
        <w:t>1</w:t>
      </w:r>
      <w:r>
        <w:rPr>
          <w:rFonts w:ascii="Arial" w:hAnsi="Arial" w:cs="Arial"/>
          <w:b/>
          <w:sz w:val="28"/>
          <w:szCs w:val="28"/>
        </w:rPr>
        <w:t>2 August</w:t>
      </w:r>
      <w:r w:rsidRPr="00E71766">
        <w:rPr>
          <w:rFonts w:ascii="Arial" w:hAnsi="Arial" w:cs="Arial"/>
          <w:b/>
          <w:sz w:val="28"/>
          <w:szCs w:val="28"/>
        </w:rPr>
        <w:t xml:space="preserve"> 2022: Canberra and by video link</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E71766" w:rsidRPr="00336026" w14:paraId="4AF09A04" w14:textId="77777777" w:rsidTr="00E470EB">
        <w:trPr>
          <w:cantSplit/>
          <w:trHeight w:val="400"/>
        </w:trPr>
        <w:tc>
          <w:tcPr>
            <w:tcW w:w="567" w:type="dxa"/>
          </w:tcPr>
          <w:p w14:paraId="212B49A6" w14:textId="77777777" w:rsidR="00E71766" w:rsidRPr="00336026" w:rsidRDefault="00E71766" w:rsidP="00E7176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4B53914" w14:textId="7AFD77BB"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Neill-Fraser</w:t>
            </w:r>
          </w:p>
        </w:tc>
        <w:tc>
          <w:tcPr>
            <w:tcW w:w="1914" w:type="dxa"/>
          </w:tcPr>
          <w:p w14:paraId="075B6A98" w14:textId="68E7288F"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The State of Tasmania</w:t>
            </w:r>
            <w:r w:rsidRPr="00E71766">
              <w:rPr>
                <w:rFonts w:ascii="Arial" w:hAnsi="Arial" w:cs="Arial"/>
                <w:sz w:val="18"/>
                <w:szCs w:val="18"/>
              </w:rPr>
              <w:br/>
              <w:t>(H1/2022)</w:t>
            </w:r>
            <w:r w:rsidRPr="00E71766">
              <w:rPr>
                <w:rFonts w:ascii="Arial" w:hAnsi="Arial" w:cs="Arial"/>
                <w:sz w:val="18"/>
                <w:szCs w:val="18"/>
              </w:rPr>
              <w:br/>
            </w:r>
          </w:p>
        </w:tc>
        <w:tc>
          <w:tcPr>
            <w:tcW w:w="1914" w:type="dxa"/>
          </w:tcPr>
          <w:p w14:paraId="5914F0C8" w14:textId="070BD7E2"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Supreme Court of Tasmania (Court of Criminal Appeal)</w:t>
            </w:r>
            <w:r w:rsidRPr="00E71766">
              <w:rPr>
                <w:rFonts w:ascii="Arial" w:hAnsi="Arial" w:cs="Arial"/>
                <w:sz w:val="18"/>
                <w:szCs w:val="18"/>
              </w:rPr>
              <w:br/>
              <w:t>[2021] TASCCA 12</w:t>
            </w:r>
            <w:r w:rsidRPr="00E71766">
              <w:rPr>
                <w:rFonts w:ascii="Arial" w:hAnsi="Arial" w:cs="Arial"/>
                <w:sz w:val="18"/>
                <w:szCs w:val="18"/>
              </w:rPr>
              <w:br/>
            </w:r>
          </w:p>
        </w:tc>
        <w:tc>
          <w:tcPr>
            <w:tcW w:w="1914" w:type="dxa"/>
          </w:tcPr>
          <w:p w14:paraId="1365FEE7" w14:textId="342AE747" w:rsidR="00E71766" w:rsidRPr="002C69AC" w:rsidRDefault="00E71766" w:rsidP="00E71766">
            <w:pPr>
              <w:spacing w:before="120"/>
              <w:jc w:val="left"/>
              <w:rPr>
                <w:rFonts w:ascii="Arial" w:hAnsi="Arial" w:cs="Arial"/>
                <w:sz w:val="18"/>
                <w:szCs w:val="18"/>
              </w:rPr>
            </w:pPr>
            <w:r>
              <w:rPr>
                <w:rFonts w:ascii="Arial" w:hAnsi="Arial" w:cs="Arial"/>
                <w:sz w:val="18"/>
                <w:szCs w:val="18"/>
              </w:rPr>
              <w:t>Application refused</w:t>
            </w:r>
            <w:r w:rsidR="00116C91">
              <w:rPr>
                <w:rFonts w:ascii="Arial" w:hAnsi="Arial" w:cs="Arial"/>
                <w:sz w:val="18"/>
                <w:szCs w:val="18"/>
              </w:rPr>
              <w:br/>
            </w:r>
            <w:hyperlink r:id="rId124" w:history="1">
              <w:r w:rsidR="00116C91" w:rsidRPr="00116C91">
                <w:rPr>
                  <w:rStyle w:val="Hyperlink"/>
                  <w:rFonts w:ascii="Arial" w:hAnsi="Arial"/>
                  <w:noProof w:val="0"/>
                  <w:sz w:val="18"/>
                  <w:szCs w:val="18"/>
                </w:rPr>
                <w:t xml:space="preserve">[2022] </w:t>
              </w:r>
              <w:proofErr w:type="spellStart"/>
              <w:r w:rsidR="00116C91" w:rsidRPr="00116C91">
                <w:rPr>
                  <w:rStyle w:val="Hyperlink"/>
                  <w:rFonts w:ascii="Arial" w:hAnsi="Arial"/>
                  <w:noProof w:val="0"/>
                  <w:sz w:val="18"/>
                  <w:szCs w:val="18"/>
                </w:rPr>
                <w:t>HCATrans</w:t>
              </w:r>
              <w:proofErr w:type="spellEnd"/>
              <w:r w:rsidR="00116C91" w:rsidRPr="00116C91">
                <w:rPr>
                  <w:rStyle w:val="Hyperlink"/>
                  <w:rFonts w:ascii="Arial" w:hAnsi="Arial"/>
                  <w:noProof w:val="0"/>
                  <w:sz w:val="18"/>
                  <w:szCs w:val="18"/>
                </w:rPr>
                <w:t xml:space="preserve"> 128</w:t>
              </w:r>
            </w:hyperlink>
          </w:p>
        </w:tc>
      </w:tr>
      <w:tr w:rsidR="00E71766" w:rsidRPr="00336026" w14:paraId="5DD81241" w14:textId="77777777" w:rsidTr="00982C50">
        <w:trPr>
          <w:cantSplit/>
          <w:trHeight w:val="1232"/>
        </w:trPr>
        <w:tc>
          <w:tcPr>
            <w:tcW w:w="567" w:type="dxa"/>
          </w:tcPr>
          <w:p w14:paraId="6FA32683" w14:textId="77777777" w:rsidR="00E71766" w:rsidRPr="00336026" w:rsidRDefault="00E71766" w:rsidP="00E7176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610967FF" w14:textId="15ED80AB" w:rsidR="00E71766" w:rsidRPr="002C69AC" w:rsidRDefault="00E71766" w:rsidP="00E71766">
            <w:pPr>
              <w:spacing w:before="120"/>
              <w:jc w:val="left"/>
              <w:rPr>
                <w:rFonts w:ascii="Arial" w:hAnsi="Arial" w:cs="Arial"/>
                <w:sz w:val="18"/>
                <w:szCs w:val="18"/>
              </w:rPr>
            </w:pPr>
            <w:r>
              <w:rPr>
                <w:rFonts w:ascii="Arial" w:hAnsi="Arial" w:cs="Arial"/>
                <w:sz w:val="18"/>
                <w:szCs w:val="18"/>
              </w:rPr>
              <w:t>Larry Cavanaugh (a pseudonym)</w:t>
            </w:r>
          </w:p>
        </w:tc>
        <w:tc>
          <w:tcPr>
            <w:tcW w:w="1914" w:type="dxa"/>
          </w:tcPr>
          <w:p w14:paraId="40E79DF1" w14:textId="536DF085"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The Queen</w:t>
            </w:r>
            <w:r w:rsidRPr="00E71766">
              <w:rPr>
                <w:rFonts w:ascii="Arial" w:hAnsi="Arial" w:cs="Arial"/>
                <w:sz w:val="18"/>
                <w:szCs w:val="18"/>
              </w:rPr>
              <w:br/>
              <w:t>(M3/2022)</w:t>
            </w:r>
            <w:r w:rsidRPr="00E71766">
              <w:rPr>
                <w:rFonts w:ascii="Arial" w:hAnsi="Arial" w:cs="Arial"/>
                <w:sz w:val="18"/>
                <w:szCs w:val="18"/>
              </w:rPr>
              <w:br/>
            </w:r>
          </w:p>
        </w:tc>
        <w:tc>
          <w:tcPr>
            <w:tcW w:w="1914" w:type="dxa"/>
          </w:tcPr>
          <w:p w14:paraId="10A30D81" w14:textId="3BB0F456"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Supreme Court of Victoria (Court of Appeal)</w:t>
            </w:r>
            <w:r w:rsidRPr="00E71766">
              <w:rPr>
                <w:rFonts w:ascii="Arial" w:hAnsi="Arial" w:cs="Arial"/>
                <w:sz w:val="18"/>
                <w:szCs w:val="18"/>
              </w:rPr>
              <w:br/>
              <w:t>[2021] VSCA 347</w:t>
            </w:r>
            <w:r w:rsidRPr="00E71766">
              <w:rPr>
                <w:rFonts w:ascii="Arial" w:hAnsi="Arial" w:cs="Arial"/>
                <w:sz w:val="18"/>
                <w:szCs w:val="18"/>
              </w:rPr>
              <w:br/>
            </w:r>
          </w:p>
        </w:tc>
        <w:tc>
          <w:tcPr>
            <w:tcW w:w="1914" w:type="dxa"/>
          </w:tcPr>
          <w:p w14:paraId="5A49D75E" w14:textId="58FF5D84" w:rsidR="00E71766" w:rsidRPr="002C69AC" w:rsidRDefault="00E71766" w:rsidP="00E71766">
            <w:pPr>
              <w:spacing w:before="120"/>
              <w:jc w:val="left"/>
              <w:rPr>
                <w:rFonts w:ascii="Arial" w:hAnsi="Arial" w:cs="Arial"/>
                <w:sz w:val="18"/>
                <w:szCs w:val="18"/>
              </w:rPr>
            </w:pPr>
            <w:r>
              <w:rPr>
                <w:rFonts w:ascii="Arial" w:hAnsi="Arial" w:cs="Arial"/>
                <w:sz w:val="18"/>
                <w:szCs w:val="18"/>
              </w:rPr>
              <w:t>Application refused</w:t>
            </w:r>
            <w:r w:rsidR="00116C91">
              <w:rPr>
                <w:rFonts w:ascii="Arial" w:hAnsi="Arial" w:cs="Arial"/>
                <w:sz w:val="18"/>
                <w:szCs w:val="18"/>
              </w:rPr>
              <w:br/>
            </w:r>
            <w:hyperlink r:id="rId125" w:history="1">
              <w:r w:rsidR="00116C91" w:rsidRPr="00116C91">
                <w:rPr>
                  <w:rStyle w:val="Hyperlink"/>
                  <w:rFonts w:ascii="Arial" w:hAnsi="Arial"/>
                  <w:noProof w:val="0"/>
                  <w:sz w:val="18"/>
                  <w:szCs w:val="18"/>
                </w:rPr>
                <w:t xml:space="preserve">[2022] </w:t>
              </w:r>
              <w:proofErr w:type="spellStart"/>
              <w:r w:rsidR="00116C91" w:rsidRPr="00116C91">
                <w:rPr>
                  <w:rStyle w:val="Hyperlink"/>
                  <w:rFonts w:ascii="Arial" w:hAnsi="Arial"/>
                  <w:noProof w:val="0"/>
                  <w:sz w:val="18"/>
                  <w:szCs w:val="18"/>
                </w:rPr>
                <w:t>HCATrans</w:t>
              </w:r>
              <w:proofErr w:type="spellEnd"/>
              <w:r w:rsidR="00116C91" w:rsidRPr="00116C91">
                <w:rPr>
                  <w:rStyle w:val="Hyperlink"/>
                  <w:rFonts w:ascii="Arial" w:hAnsi="Arial"/>
                  <w:noProof w:val="0"/>
                  <w:sz w:val="18"/>
                  <w:szCs w:val="18"/>
                </w:rPr>
                <w:t xml:space="preserve"> 129</w:t>
              </w:r>
            </w:hyperlink>
          </w:p>
        </w:tc>
      </w:tr>
      <w:tr w:rsidR="00E71766" w:rsidRPr="00336026" w14:paraId="69E1A2EF" w14:textId="77777777" w:rsidTr="00E470EB">
        <w:trPr>
          <w:cantSplit/>
          <w:trHeight w:val="400"/>
        </w:trPr>
        <w:tc>
          <w:tcPr>
            <w:tcW w:w="567" w:type="dxa"/>
          </w:tcPr>
          <w:p w14:paraId="270A6667" w14:textId="77777777" w:rsidR="00E71766" w:rsidRPr="00336026" w:rsidRDefault="00E71766" w:rsidP="00E7176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550747E5" w14:textId="11619348"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Kassam &amp; Ors</w:t>
            </w:r>
          </w:p>
        </w:tc>
        <w:tc>
          <w:tcPr>
            <w:tcW w:w="1914" w:type="dxa"/>
          </w:tcPr>
          <w:p w14:paraId="135E0B2A" w14:textId="675BE5FB" w:rsidR="00E71766" w:rsidRPr="002C69AC" w:rsidRDefault="00E71766" w:rsidP="00E71766">
            <w:pPr>
              <w:spacing w:before="120"/>
              <w:jc w:val="left"/>
              <w:rPr>
                <w:rFonts w:ascii="Arial" w:hAnsi="Arial" w:cs="Arial"/>
                <w:sz w:val="18"/>
                <w:szCs w:val="18"/>
              </w:rPr>
            </w:pPr>
            <w:r>
              <w:rPr>
                <w:rFonts w:ascii="Arial" w:hAnsi="Arial" w:cs="Arial"/>
                <w:sz w:val="18"/>
                <w:szCs w:val="18"/>
              </w:rPr>
              <w:t>Hazzard &amp; Ors</w:t>
            </w:r>
            <w:r>
              <w:rPr>
                <w:rFonts w:ascii="Arial" w:hAnsi="Arial" w:cs="Arial"/>
                <w:sz w:val="18"/>
                <w:szCs w:val="18"/>
              </w:rPr>
              <w:br/>
              <w:t>(S3/2022)</w:t>
            </w:r>
            <w:r>
              <w:rPr>
                <w:rFonts w:ascii="Arial" w:hAnsi="Arial" w:cs="Arial"/>
                <w:sz w:val="18"/>
                <w:szCs w:val="18"/>
              </w:rPr>
              <w:br/>
            </w:r>
          </w:p>
        </w:tc>
        <w:tc>
          <w:tcPr>
            <w:tcW w:w="1914" w:type="dxa"/>
          </w:tcPr>
          <w:p w14:paraId="19DEFE1C" w14:textId="4B92AA32" w:rsidR="00E71766" w:rsidRPr="002C69AC" w:rsidRDefault="00E71766" w:rsidP="00E71766">
            <w:pPr>
              <w:spacing w:before="120"/>
              <w:jc w:val="left"/>
              <w:rPr>
                <w:rFonts w:ascii="Arial" w:hAnsi="Arial" w:cs="Arial"/>
                <w:sz w:val="18"/>
                <w:szCs w:val="18"/>
              </w:rPr>
            </w:pPr>
            <w:r>
              <w:rPr>
                <w:rFonts w:ascii="Arial" w:hAnsi="Arial" w:cs="Arial"/>
                <w:sz w:val="18"/>
                <w:szCs w:val="18"/>
              </w:rPr>
              <w:t>Supreme Court of New South Wales (Court of Appeal)</w:t>
            </w:r>
            <w:r>
              <w:rPr>
                <w:rFonts w:ascii="Arial" w:hAnsi="Arial" w:cs="Arial"/>
                <w:sz w:val="18"/>
                <w:szCs w:val="18"/>
              </w:rPr>
              <w:br/>
              <w:t>[2021] NSWCA 299</w:t>
            </w:r>
            <w:r>
              <w:rPr>
                <w:rFonts w:ascii="Arial" w:hAnsi="Arial" w:cs="Arial"/>
                <w:sz w:val="18"/>
                <w:szCs w:val="18"/>
              </w:rPr>
              <w:br/>
            </w:r>
          </w:p>
        </w:tc>
        <w:tc>
          <w:tcPr>
            <w:tcW w:w="1914" w:type="dxa"/>
          </w:tcPr>
          <w:p w14:paraId="1AC74653" w14:textId="0B10C2C5" w:rsidR="00E71766" w:rsidRPr="002C69AC" w:rsidRDefault="00E71766" w:rsidP="00E71766">
            <w:pPr>
              <w:spacing w:before="120"/>
              <w:jc w:val="left"/>
              <w:rPr>
                <w:rFonts w:ascii="Arial" w:hAnsi="Arial" w:cs="Arial"/>
                <w:sz w:val="18"/>
                <w:szCs w:val="18"/>
              </w:rPr>
            </w:pPr>
            <w:r>
              <w:rPr>
                <w:rFonts w:ascii="Arial" w:hAnsi="Arial" w:cs="Arial"/>
                <w:sz w:val="18"/>
                <w:szCs w:val="18"/>
              </w:rPr>
              <w:t>Application refused with costs</w:t>
            </w:r>
            <w:r w:rsidR="00116C91">
              <w:rPr>
                <w:rFonts w:ascii="Arial" w:hAnsi="Arial" w:cs="Arial"/>
                <w:sz w:val="18"/>
                <w:szCs w:val="18"/>
              </w:rPr>
              <w:br/>
            </w:r>
            <w:hyperlink r:id="rId126" w:history="1">
              <w:r w:rsidR="00116C91" w:rsidRPr="00116C91">
                <w:rPr>
                  <w:rStyle w:val="Hyperlink"/>
                  <w:rFonts w:ascii="Arial" w:hAnsi="Arial"/>
                  <w:noProof w:val="0"/>
                  <w:sz w:val="18"/>
                  <w:szCs w:val="18"/>
                </w:rPr>
                <w:t xml:space="preserve">[2022] </w:t>
              </w:r>
              <w:proofErr w:type="spellStart"/>
              <w:r w:rsidR="00116C91" w:rsidRPr="00116C91">
                <w:rPr>
                  <w:rStyle w:val="Hyperlink"/>
                  <w:rFonts w:ascii="Arial" w:hAnsi="Arial"/>
                  <w:noProof w:val="0"/>
                  <w:sz w:val="18"/>
                  <w:szCs w:val="18"/>
                </w:rPr>
                <w:t>HCATrans</w:t>
              </w:r>
              <w:proofErr w:type="spellEnd"/>
              <w:r w:rsidR="00116C91" w:rsidRPr="00116C91">
                <w:rPr>
                  <w:rStyle w:val="Hyperlink"/>
                  <w:rFonts w:ascii="Arial" w:hAnsi="Arial"/>
                  <w:noProof w:val="0"/>
                  <w:sz w:val="18"/>
                  <w:szCs w:val="18"/>
                </w:rPr>
                <w:t xml:space="preserve"> 131</w:t>
              </w:r>
            </w:hyperlink>
          </w:p>
        </w:tc>
      </w:tr>
      <w:tr w:rsidR="00E71766" w:rsidRPr="00336026" w14:paraId="511228A4" w14:textId="77777777" w:rsidTr="00E470EB">
        <w:trPr>
          <w:cantSplit/>
          <w:trHeight w:val="400"/>
        </w:trPr>
        <w:tc>
          <w:tcPr>
            <w:tcW w:w="567" w:type="dxa"/>
          </w:tcPr>
          <w:p w14:paraId="3D3B1429" w14:textId="77777777" w:rsidR="00E71766" w:rsidRPr="00336026" w:rsidRDefault="00E71766" w:rsidP="00E7176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E8139E5" w14:textId="6A7AE669"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SafeWork NSW</w:t>
            </w:r>
          </w:p>
        </w:tc>
        <w:tc>
          <w:tcPr>
            <w:tcW w:w="1914" w:type="dxa"/>
          </w:tcPr>
          <w:p w14:paraId="5E96C73A" w14:textId="07E6499A"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 xml:space="preserve">Grasso </w:t>
            </w:r>
            <w:r w:rsidRPr="00E71766">
              <w:rPr>
                <w:rFonts w:ascii="Arial" w:hAnsi="Arial" w:cs="Arial"/>
                <w:sz w:val="18"/>
                <w:szCs w:val="18"/>
              </w:rPr>
              <w:br/>
              <w:t>(S4/2022)</w:t>
            </w:r>
            <w:r w:rsidRPr="00E71766">
              <w:rPr>
                <w:rFonts w:ascii="Arial" w:hAnsi="Arial" w:cs="Arial"/>
                <w:sz w:val="18"/>
                <w:szCs w:val="18"/>
              </w:rPr>
              <w:br/>
            </w:r>
          </w:p>
        </w:tc>
        <w:tc>
          <w:tcPr>
            <w:tcW w:w="1914" w:type="dxa"/>
          </w:tcPr>
          <w:p w14:paraId="5965EF62" w14:textId="28A24B4D" w:rsidR="00E71766" w:rsidRPr="002C69AC" w:rsidRDefault="00E71766" w:rsidP="00E71766">
            <w:pPr>
              <w:spacing w:before="120"/>
              <w:jc w:val="left"/>
              <w:rPr>
                <w:rFonts w:ascii="Arial" w:hAnsi="Arial" w:cs="Arial"/>
                <w:sz w:val="18"/>
                <w:szCs w:val="18"/>
              </w:rPr>
            </w:pPr>
            <w:r>
              <w:rPr>
                <w:rFonts w:ascii="Arial" w:hAnsi="Arial" w:cs="Arial"/>
                <w:sz w:val="18"/>
                <w:szCs w:val="18"/>
              </w:rPr>
              <w:t>Supreme Court of New South Wales (Court of Criminal Appeal)</w:t>
            </w:r>
            <w:r>
              <w:rPr>
                <w:rFonts w:ascii="Arial" w:hAnsi="Arial" w:cs="Arial"/>
                <w:sz w:val="18"/>
                <w:szCs w:val="18"/>
              </w:rPr>
              <w:br/>
              <w:t>[2021] NSWCCA 288</w:t>
            </w:r>
            <w:r>
              <w:rPr>
                <w:rFonts w:ascii="Arial" w:hAnsi="Arial" w:cs="Arial"/>
                <w:sz w:val="18"/>
                <w:szCs w:val="18"/>
              </w:rPr>
              <w:br/>
            </w:r>
          </w:p>
        </w:tc>
        <w:tc>
          <w:tcPr>
            <w:tcW w:w="1914" w:type="dxa"/>
          </w:tcPr>
          <w:p w14:paraId="369D7159" w14:textId="37A7BEE2" w:rsidR="00E71766" w:rsidRPr="002C69AC" w:rsidRDefault="00E71766" w:rsidP="00E71766">
            <w:pPr>
              <w:spacing w:before="120"/>
              <w:jc w:val="left"/>
              <w:rPr>
                <w:rFonts w:ascii="Arial" w:hAnsi="Arial" w:cs="Arial"/>
                <w:sz w:val="18"/>
                <w:szCs w:val="18"/>
              </w:rPr>
            </w:pPr>
            <w:r>
              <w:rPr>
                <w:rFonts w:ascii="Arial" w:hAnsi="Arial" w:cs="Arial"/>
                <w:sz w:val="18"/>
                <w:szCs w:val="18"/>
              </w:rPr>
              <w:t>Application refused with costs</w:t>
            </w:r>
            <w:r w:rsidR="00116C91">
              <w:rPr>
                <w:rFonts w:ascii="Arial" w:hAnsi="Arial" w:cs="Arial"/>
                <w:sz w:val="18"/>
                <w:szCs w:val="18"/>
              </w:rPr>
              <w:br/>
            </w:r>
            <w:hyperlink r:id="rId127" w:history="1">
              <w:r w:rsidR="00116C91" w:rsidRPr="00116C91">
                <w:rPr>
                  <w:rStyle w:val="Hyperlink"/>
                  <w:rFonts w:ascii="Arial" w:hAnsi="Arial"/>
                  <w:noProof w:val="0"/>
                  <w:sz w:val="18"/>
                  <w:szCs w:val="18"/>
                </w:rPr>
                <w:t xml:space="preserve">[2022] </w:t>
              </w:r>
              <w:proofErr w:type="spellStart"/>
              <w:r w:rsidR="00116C91" w:rsidRPr="00116C91">
                <w:rPr>
                  <w:rStyle w:val="Hyperlink"/>
                  <w:rFonts w:ascii="Arial" w:hAnsi="Arial"/>
                  <w:noProof w:val="0"/>
                  <w:sz w:val="18"/>
                  <w:szCs w:val="18"/>
                </w:rPr>
                <w:t>HCATrans</w:t>
              </w:r>
              <w:proofErr w:type="spellEnd"/>
              <w:r w:rsidR="00116C91" w:rsidRPr="00116C91">
                <w:rPr>
                  <w:rStyle w:val="Hyperlink"/>
                  <w:rFonts w:ascii="Arial" w:hAnsi="Arial"/>
                  <w:noProof w:val="0"/>
                  <w:sz w:val="18"/>
                  <w:szCs w:val="18"/>
                </w:rPr>
                <w:t xml:space="preserve"> 132</w:t>
              </w:r>
            </w:hyperlink>
          </w:p>
        </w:tc>
      </w:tr>
      <w:tr w:rsidR="00E71766" w:rsidRPr="00336026" w14:paraId="66C174EF" w14:textId="77777777" w:rsidTr="00E470EB">
        <w:trPr>
          <w:cantSplit/>
          <w:trHeight w:val="400"/>
        </w:trPr>
        <w:tc>
          <w:tcPr>
            <w:tcW w:w="567" w:type="dxa"/>
          </w:tcPr>
          <w:p w14:paraId="64C6CCC5" w14:textId="77777777" w:rsidR="00E71766" w:rsidRPr="00336026" w:rsidRDefault="00E71766" w:rsidP="00E7176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39AA7D81" w14:textId="3A221550"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SafeWork NSW</w:t>
            </w:r>
          </w:p>
        </w:tc>
        <w:tc>
          <w:tcPr>
            <w:tcW w:w="1914" w:type="dxa"/>
          </w:tcPr>
          <w:p w14:paraId="5C9D92D5" w14:textId="489866D1" w:rsidR="00E71766" w:rsidRPr="002C69AC" w:rsidRDefault="00E71766" w:rsidP="00E71766">
            <w:pPr>
              <w:spacing w:before="120"/>
              <w:jc w:val="left"/>
              <w:rPr>
                <w:rFonts w:ascii="Arial" w:hAnsi="Arial" w:cs="Arial"/>
                <w:sz w:val="18"/>
                <w:szCs w:val="18"/>
              </w:rPr>
            </w:pPr>
            <w:r w:rsidRPr="00E71766">
              <w:rPr>
                <w:rFonts w:ascii="Arial" w:hAnsi="Arial" w:cs="Arial"/>
                <w:sz w:val="18"/>
                <w:szCs w:val="18"/>
              </w:rPr>
              <w:t>Grasso Consulting Engineers Pty Ltd</w:t>
            </w:r>
            <w:r w:rsidRPr="00E71766">
              <w:rPr>
                <w:rFonts w:ascii="Arial" w:hAnsi="Arial" w:cs="Arial"/>
                <w:sz w:val="18"/>
                <w:szCs w:val="18"/>
              </w:rPr>
              <w:br/>
              <w:t>(S5/2022)</w:t>
            </w:r>
            <w:r w:rsidRPr="00E71766">
              <w:rPr>
                <w:rFonts w:ascii="Arial" w:hAnsi="Arial" w:cs="Arial"/>
                <w:sz w:val="18"/>
                <w:szCs w:val="18"/>
              </w:rPr>
              <w:br/>
            </w:r>
          </w:p>
        </w:tc>
        <w:tc>
          <w:tcPr>
            <w:tcW w:w="1914" w:type="dxa"/>
          </w:tcPr>
          <w:p w14:paraId="2416CE78" w14:textId="19AD4814" w:rsidR="00E71766" w:rsidRPr="002C69AC" w:rsidRDefault="00E71766" w:rsidP="00E71766">
            <w:pPr>
              <w:spacing w:before="120"/>
              <w:jc w:val="left"/>
              <w:rPr>
                <w:rFonts w:ascii="Arial" w:hAnsi="Arial" w:cs="Arial"/>
                <w:sz w:val="18"/>
                <w:szCs w:val="18"/>
              </w:rPr>
            </w:pPr>
            <w:r>
              <w:rPr>
                <w:rFonts w:ascii="Arial" w:hAnsi="Arial" w:cs="Arial"/>
                <w:sz w:val="18"/>
                <w:szCs w:val="18"/>
              </w:rPr>
              <w:t>Supreme Court of New South Wales (Court of Criminal Appeal)</w:t>
            </w:r>
            <w:r>
              <w:rPr>
                <w:rFonts w:ascii="Arial" w:hAnsi="Arial" w:cs="Arial"/>
                <w:sz w:val="18"/>
                <w:szCs w:val="18"/>
              </w:rPr>
              <w:br/>
              <w:t>[2021] NSWCCA 288</w:t>
            </w:r>
            <w:r>
              <w:rPr>
                <w:rFonts w:ascii="Arial" w:hAnsi="Arial" w:cs="Arial"/>
                <w:sz w:val="18"/>
                <w:szCs w:val="18"/>
              </w:rPr>
              <w:br/>
            </w:r>
          </w:p>
        </w:tc>
        <w:tc>
          <w:tcPr>
            <w:tcW w:w="1914" w:type="dxa"/>
          </w:tcPr>
          <w:p w14:paraId="19FBAA50" w14:textId="4E7E9090" w:rsidR="00E71766" w:rsidRPr="002C69AC" w:rsidRDefault="00E71766" w:rsidP="00E71766">
            <w:pPr>
              <w:spacing w:before="120"/>
              <w:jc w:val="left"/>
              <w:rPr>
                <w:rFonts w:ascii="Arial" w:hAnsi="Arial" w:cs="Arial"/>
                <w:sz w:val="18"/>
                <w:szCs w:val="18"/>
              </w:rPr>
            </w:pPr>
            <w:r>
              <w:rPr>
                <w:rFonts w:ascii="Arial" w:hAnsi="Arial" w:cs="Arial"/>
                <w:sz w:val="18"/>
                <w:szCs w:val="18"/>
              </w:rPr>
              <w:t>Application refused with costs</w:t>
            </w:r>
            <w:r w:rsidR="00116C91">
              <w:rPr>
                <w:rFonts w:ascii="Arial" w:hAnsi="Arial" w:cs="Arial"/>
                <w:sz w:val="18"/>
                <w:szCs w:val="18"/>
              </w:rPr>
              <w:br/>
            </w:r>
            <w:hyperlink r:id="rId128" w:history="1">
              <w:r w:rsidR="00116C91" w:rsidRPr="00116C91">
                <w:rPr>
                  <w:rStyle w:val="Hyperlink"/>
                  <w:rFonts w:ascii="Arial" w:hAnsi="Arial"/>
                  <w:noProof w:val="0"/>
                  <w:sz w:val="18"/>
                  <w:szCs w:val="18"/>
                </w:rPr>
                <w:t xml:space="preserve">[2022] </w:t>
              </w:r>
              <w:proofErr w:type="spellStart"/>
              <w:r w:rsidR="00116C91" w:rsidRPr="00116C91">
                <w:rPr>
                  <w:rStyle w:val="Hyperlink"/>
                  <w:rFonts w:ascii="Arial" w:hAnsi="Arial"/>
                  <w:noProof w:val="0"/>
                  <w:sz w:val="18"/>
                  <w:szCs w:val="18"/>
                </w:rPr>
                <w:t>HCATrans</w:t>
              </w:r>
              <w:proofErr w:type="spellEnd"/>
              <w:r w:rsidR="00116C91" w:rsidRPr="00116C91">
                <w:rPr>
                  <w:rStyle w:val="Hyperlink"/>
                  <w:rFonts w:ascii="Arial" w:hAnsi="Arial"/>
                  <w:noProof w:val="0"/>
                  <w:sz w:val="18"/>
                  <w:szCs w:val="18"/>
                </w:rPr>
                <w:t xml:space="preserve"> 132</w:t>
              </w:r>
            </w:hyperlink>
          </w:p>
        </w:tc>
      </w:tr>
    </w:tbl>
    <w:p w14:paraId="315861A7" w14:textId="77777777" w:rsidR="00192943" w:rsidRPr="0076188B" w:rsidRDefault="00192943" w:rsidP="00192943">
      <w:pPr>
        <w:rPr>
          <w:highlight w:val="yellow"/>
        </w:rPr>
      </w:pPr>
    </w:p>
    <w:p w14:paraId="14AB9248" w14:textId="77777777" w:rsidR="002C69AC" w:rsidRDefault="002C69AC" w:rsidP="00AC2199">
      <w:pPr>
        <w:rPr>
          <w:highlight w:val="yellow"/>
        </w:rPr>
      </w:pPr>
      <w:r>
        <w:rPr>
          <w:highlight w:val="yellow"/>
        </w:rPr>
        <w:br w:type="page"/>
      </w:r>
    </w:p>
    <w:bookmarkEnd w:id="172"/>
    <w:p w14:paraId="5C5E8FF9" w14:textId="6BBB263F" w:rsidR="008A3056" w:rsidRDefault="003E3040" w:rsidP="008A3056">
      <w:pPr>
        <w:rPr>
          <w:rFonts w:ascii="Arial" w:hAnsi="Arial" w:cs="Arial"/>
          <w:b/>
          <w:sz w:val="28"/>
          <w:szCs w:val="28"/>
        </w:rPr>
      </w:pPr>
      <w:r w:rsidRPr="003E3040">
        <w:rPr>
          <w:rFonts w:ascii="Arial" w:hAnsi="Arial" w:cs="Arial"/>
          <w:b/>
          <w:sz w:val="28"/>
          <w:szCs w:val="28"/>
        </w:rPr>
        <w:lastRenderedPageBreak/>
        <w:t>Publication of Reasons: 1</w:t>
      </w:r>
      <w:r>
        <w:rPr>
          <w:rFonts w:ascii="Arial" w:hAnsi="Arial" w:cs="Arial"/>
          <w:b/>
          <w:sz w:val="28"/>
          <w:szCs w:val="28"/>
        </w:rPr>
        <w:t>8</w:t>
      </w:r>
      <w:r w:rsidRPr="003E3040">
        <w:rPr>
          <w:rFonts w:ascii="Arial" w:hAnsi="Arial" w:cs="Arial"/>
          <w:b/>
          <w:sz w:val="28"/>
          <w:szCs w:val="28"/>
        </w:rPr>
        <w:t xml:space="preserve"> August 2022 (Canberra)</w:t>
      </w:r>
    </w:p>
    <w:p w14:paraId="54BF1ECB" w14:textId="77777777" w:rsidR="003E3040" w:rsidRPr="00D27A4C" w:rsidRDefault="003E3040" w:rsidP="008A3056"/>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8A3056" w:rsidRPr="00D27A4C" w14:paraId="15B937E4" w14:textId="77777777" w:rsidTr="00926DF1">
        <w:trPr>
          <w:cantSplit/>
          <w:trHeight w:val="400"/>
          <w:tblHeader/>
        </w:trPr>
        <w:tc>
          <w:tcPr>
            <w:tcW w:w="344" w:type="pct"/>
            <w:tcBorders>
              <w:top w:val="single" w:sz="4" w:space="0" w:color="auto"/>
              <w:bottom w:val="single" w:sz="4" w:space="0" w:color="auto"/>
            </w:tcBorders>
          </w:tcPr>
          <w:p w14:paraId="32C635F3" w14:textId="77777777" w:rsidR="008A3056" w:rsidRPr="00D27A4C" w:rsidRDefault="008A3056" w:rsidP="00926DF1">
            <w:pPr>
              <w:keepLines/>
              <w:rPr>
                <w:rFonts w:ascii="Arial" w:hAnsi="Arial" w:cs="Arial"/>
                <w:i/>
                <w:color w:val="000000"/>
                <w:sz w:val="18"/>
              </w:rPr>
            </w:pPr>
            <w:r w:rsidRPr="00D27A4C">
              <w:rPr>
                <w:rFonts w:ascii="Arial" w:hAnsi="Arial" w:cs="Arial"/>
                <w:i/>
                <w:color w:val="000000"/>
                <w:sz w:val="18"/>
              </w:rPr>
              <w:br/>
              <w:t>No.</w:t>
            </w:r>
          </w:p>
        </w:tc>
        <w:tc>
          <w:tcPr>
            <w:tcW w:w="1165" w:type="pct"/>
            <w:tcBorders>
              <w:top w:val="single" w:sz="4" w:space="0" w:color="auto"/>
              <w:bottom w:val="single" w:sz="4" w:space="0" w:color="auto"/>
            </w:tcBorders>
          </w:tcPr>
          <w:p w14:paraId="791073BB"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Applicant</w:t>
            </w:r>
          </w:p>
          <w:p w14:paraId="0734BF94" w14:textId="77777777" w:rsidR="008A3056" w:rsidRPr="00D27A4C" w:rsidRDefault="008A3056" w:rsidP="00926DF1">
            <w:pPr>
              <w:keepLines/>
              <w:jc w:val="left"/>
              <w:rPr>
                <w:rFonts w:ascii="Arial" w:hAnsi="Arial" w:cs="Arial"/>
                <w:i/>
                <w:color w:val="000000"/>
                <w:sz w:val="18"/>
              </w:rPr>
            </w:pPr>
          </w:p>
        </w:tc>
        <w:tc>
          <w:tcPr>
            <w:tcW w:w="1164" w:type="pct"/>
            <w:tcBorders>
              <w:top w:val="single" w:sz="4" w:space="0" w:color="auto"/>
              <w:bottom w:val="single" w:sz="4" w:space="0" w:color="auto"/>
            </w:tcBorders>
          </w:tcPr>
          <w:p w14:paraId="0DA640F3"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Respondent</w:t>
            </w:r>
          </w:p>
        </w:tc>
        <w:tc>
          <w:tcPr>
            <w:tcW w:w="1164" w:type="pct"/>
            <w:tcBorders>
              <w:top w:val="single" w:sz="4" w:space="0" w:color="auto"/>
              <w:bottom w:val="single" w:sz="4" w:space="0" w:color="auto"/>
            </w:tcBorders>
          </w:tcPr>
          <w:p w14:paraId="3E1655E3"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Court appealed from</w:t>
            </w:r>
          </w:p>
        </w:tc>
        <w:tc>
          <w:tcPr>
            <w:tcW w:w="1163" w:type="pct"/>
            <w:tcBorders>
              <w:top w:val="single" w:sz="4" w:space="0" w:color="auto"/>
              <w:bottom w:val="single" w:sz="4" w:space="0" w:color="auto"/>
            </w:tcBorders>
          </w:tcPr>
          <w:p w14:paraId="79E9B45C"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Results</w:t>
            </w:r>
          </w:p>
        </w:tc>
      </w:tr>
      <w:tr w:rsidR="003E3040" w:rsidRPr="00D27A4C" w14:paraId="22E57C45" w14:textId="77777777" w:rsidTr="00926DF1">
        <w:trPr>
          <w:cantSplit/>
          <w:trHeight w:val="400"/>
        </w:trPr>
        <w:tc>
          <w:tcPr>
            <w:tcW w:w="344" w:type="pct"/>
          </w:tcPr>
          <w:p w14:paraId="01045AB7" w14:textId="77777777" w:rsidR="003E3040" w:rsidRPr="00D27A4C" w:rsidRDefault="003E3040" w:rsidP="003E3040">
            <w:pPr>
              <w:pStyle w:val="ListParagraph"/>
              <w:keepLines/>
              <w:numPr>
                <w:ilvl w:val="0"/>
                <w:numId w:val="47"/>
              </w:numPr>
              <w:spacing w:before="120"/>
              <w:jc w:val="left"/>
              <w:rPr>
                <w:rFonts w:ascii="Arial" w:hAnsi="Arial" w:cs="Arial"/>
                <w:color w:val="000000"/>
                <w:sz w:val="18"/>
                <w:szCs w:val="18"/>
              </w:rPr>
            </w:pPr>
          </w:p>
        </w:tc>
        <w:tc>
          <w:tcPr>
            <w:tcW w:w="1165" w:type="pct"/>
          </w:tcPr>
          <w:p w14:paraId="1F18DA20" w14:textId="6B7A6200"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SZROL</w:t>
            </w:r>
          </w:p>
        </w:tc>
        <w:tc>
          <w:tcPr>
            <w:tcW w:w="1164" w:type="pct"/>
          </w:tcPr>
          <w:p w14:paraId="1774C795" w14:textId="510E9568"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Minister for Immigration and Border Protection &amp; Anor (S65/2022)</w:t>
            </w:r>
            <w:r>
              <w:rPr>
                <w:rFonts w:ascii="Arial" w:hAnsi="Arial" w:cs="Arial"/>
                <w:color w:val="000000"/>
                <w:sz w:val="18"/>
                <w:szCs w:val="18"/>
              </w:rPr>
              <w:br/>
            </w:r>
          </w:p>
        </w:tc>
        <w:tc>
          <w:tcPr>
            <w:tcW w:w="1164" w:type="pct"/>
          </w:tcPr>
          <w:p w14:paraId="761968D1" w14:textId="3786A274" w:rsidR="003E3040" w:rsidRDefault="003E3040" w:rsidP="003E3040">
            <w:pPr>
              <w:spacing w:before="120"/>
              <w:jc w:val="left"/>
              <w:rPr>
                <w:rFonts w:ascii="Arial" w:hAnsi="Arial" w:cs="Arial"/>
                <w:color w:val="000000"/>
                <w:sz w:val="18"/>
                <w:szCs w:val="18"/>
              </w:rPr>
            </w:pPr>
            <w:r w:rsidRPr="003E3040">
              <w:rPr>
                <w:rFonts w:ascii="Arial" w:hAnsi="Arial" w:cs="Arial"/>
                <w:color w:val="000000"/>
                <w:sz w:val="18"/>
                <w:szCs w:val="18"/>
              </w:rPr>
              <w:t>Federal Court of Australia</w:t>
            </w:r>
            <w:r w:rsidRPr="003E3040">
              <w:rPr>
                <w:rFonts w:ascii="Arial" w:hAnsi="Arial" w:cs="Arial"/>
                <w:color w:val="000000"/>
                <w:sz w:val="18"/>
                <w:szCs w:val="18"/>
              </w:rPr>
              <w:br/>
              <w:t>[2022] FCA 378</w:t>
            </w:r>
          </w:p>
        </w:tc>
        <w:tc>
          <w:tcPr>
            <w:tcW w:w="1163" w:type="pct"/>
          </w:tcPr>
          <w:p w14:paraId="47D71FA3" w14:textId="2829BB49" w:rsidR="003E3040" w:rsidRPr="009D51B4" w:rsidRDefault="003E3040" w:rsidP="003E3040">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9" w:history="1">
              <w:r w:rsidRPr="006159EF">
                <w:rPr>
                  <w:rStyle w:val="Hyperlink"/>
                  <w:rFonts w:ascii="Arial" w:hAnsi="Arial"/>
                  <w:noProof w:val="0"/>
                  <w:sz w:val="18"/>
                  <w:szCs w:val="18"/>
                </w:rPr>
                <w:t>[2022] HCASL 125</w:t>
              </w:r>
            </w:hyperlink>
          </w:p>
        </w:tc>
      </w:tr>
      <w:tr w:rsidR="003E3040" w:rsidRPr="00D27A4C" w14:paraId="1A04A256" w14:textId="77777777" w:rsidTr="00926DF1">
        <w:trPr>
          <w:cantSplit/>
          <w:trHeight w:val="400"/>
        </w:trPr>
        <w:tc>
          <w:tcPr>
            <w:tcW w:w="344" w:type="pct"/>
          </w:tcPr>
          <w:p w14:paraId="3CA28AA8" w14:textId="77777777" w:rsidR="003E3040" w:rsidRPr="00D27A4C" w:rsidRDefault="003E3040" w:rsidP="003E3040">
            <w:pPr>
              <w:pStyle w:val="ListParagraph"/>
              <w:keepLines/>
              <w:numPr>
                <w:ilvl w:val="0"/>
                <w:numId w:val="47"/>
              </w:numPr>
              <w:spacing w:before="120"/>
              <w:jc w:val="left"/>
              <w:rPr>
                <w:rFonts w:ascii="Arial" w:hAnsi="Arial" w:cs="Arial"/>
                <w:color w:val="000000"/>
                <w:sz w:val="18"/>
                <w:szCs w:val="18"/>
              </w:rPr>
            </w:pPr>
          </w:p>
        </w:tc>
        <w:tc>
          <w:tcPr>
            <w:tcW w:w="1165" w:type="pct"/>
          </w:tcPr>
          <w:p w14:paraId="42AE21AD" w14:textId="4E58EEB1" w:rsidR="003E3040" w:rsidRDefault="003E3040" w:rsidP="003E3040">
            <w:pPr>
              <w:spacing w:before="120"/>
              <w:jc w:val="left"/>
              <w:rPr>
                <w:rFonts w:ascii="Arial" w:hAnsi="Arial" w:cs="Arial"/>
                <w:color w:val="000000"/>
                <w:sz w:val="18"/>
                <w:szCs w:val="18"/>
              </w:rPr>
            </w:pPr>
            <w:r w:rsidRPr="003E3040">
              <w:rPr>
                <w:rFonts w:ascii="Arial" w:hAnsi="Arial" w:cs="Arial"/>
                <w:color w:val="000000"/>
                <w:sz w:val="18"/>
                <w:szCs w:val="18"/>
              </w:rPr>
              <w:t>Renton</w:t>
            </w:r>
          </w:p>
        </w:tc>
        <w:tc>
          <w:tcPr>
            <w:tcW w:w="1164" w:type="pct"/>
          </w:tcPr>
          <w:p w14:paraId="2D4ED11A" w14:textId="44C9D6F7" w:rsidR="003E3040" w:rsidRDefault="003E3040" w:rsidP="003E3040">
            <w:pPr>
              <w:spacing w:before="120"/>
              <w:jc w:val="left"/>
              <w:rPr>
                <w:rFonts w:ascii="Arial" w:hAnsi="Arial" w:cs="Arial"/>
                <w:color w:val="000000"/>
                <w:sz w:val="18"/>
                <w:szCs w:val="18"/>
              </w:rPr>
            </w:pPr>
            <w:r w:rsidRPr="003E3040">
              <w:rPr>
                <w:rFonts w:ascii="Arial" w:hAnsi="Arial" w:cs="Arial"/>
                <w:color w:val="000000"/>
                <w:sz w:val="18"/>
                <w:szCs w:val="18"/>
              </w:rPr>
              <w:t>Minister for Home Affairs (S66/2022)</w:t>
            </w:r>
          </w:p>
        </w:tc>
        <w:tc>
          <w:tcPr>
            <w:tcW w:w="1164" w:type="pct"/>
          </w:tcPr>
          <w:p w14:paraId="43B89176" w14:textId="0E489355"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FCAFC 11</w:t>
            </w:r>
            <w:r>
              <w:rPr>
                <w:rFonts w:ascii="Arial" w:hAnsi="Arial" w:cs="Arial"/>
                <w:color w:val="000000"/>
                <w:sz w:val="18"/>
                <w:szCs w:val="18"/>
              </w:rPr>
              <w:br/>
            </w:r>
          </w:p>
        </w:tc>
        <w:tc>
          <w:tcPr>
            <w:tcW w:w="1163" w:type="pct"/>
          </w:tcPr>
          <w:p w14:paraId="1AB12C7E" w14:textId="743C1B3F" w:rsidR="003E3040" w:rsidRPr="009D51B4" w:rsidRDefault="003E3040" w:rsidP="003E3040">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0" w:history="1">
              <w:r w:rsidRPr="006159EF">
                <w:rPr>
                  <w:rStyle w:val="Hyperlink"/>
                  <w:rFonts w:ascii="Arial" w:hAnsi="Arial"/>
                  <w:noProof w:val="0"/>
                  <w:sz w:val="18"/>
                  <w:szCs w:val="18"/>
                </w:rPr>
                <w:t>[2022] HCASL 126</w:t>
              </w:r>
            </w:hyperlink>
          </w:p>
        </w:tc>
      </w:tr>
      <w:tr w:rsidR="003E3040" w:rsidRPr="00D27A4C" w14:paraId="2361CB0D" w14:textId="77777777" w:rsidTr="00926DF1">
        <w:trPr>
          <w:cantSplit/>
          <w:trHeight w:val="400"/>
        </w:trPr>
        <w:tc>
          <w:tcPr>
            <w:tcW w:w="344" w:type="pct"/>
          </w:tcPr>
          <w:p w14:paraId="647E6CF4" w14:textId="77777777" w:rsidR="003E3040" w:rsidRPr="00D27A4C" w:rsidRDefault="003E3040" w:rsidP="003E3040">
            <w:pPr>
              <w:pStyle w:val="ListParagraph"/>
              <w:keepLines/>
              <w:numPr>
                <w:ilvl w:val="0"/>
                <w:numId w:val="47"/>
              </w:numPr>
              <w:spacing w:before="120"/>
              <w:jc w:val="left"/>
              <w:rPr>
                <w:rFonts w:ascii="Arial" w:hAnsi="Arial" w:cs="Arial"/>
                <w:color w:val="000000"/>
                <w:sz w:val="18"/>
                <w:szCs w:val="18"/>
              </w:rPr>
            </w:pPr>
          </w:p>
        </w:tc>
        <w:tc>
          <w:tcPr>
            <w:tcW w:w="1165" w:type="pct"/>
          </w:tcPr>
          <w:p w14:paraId="6126B23E" w14:textId="315DFC89"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BSF16</w:t>
            </w:r>
          </w:p>
        </w:tc>
        <w:tc>
          <w:tcPr>
            <w:tcW w:w="1164" w:type="pct"/>
          </w:tcPr>
          <w:p w14:paraId="2490DA0E" w14:textId="7DADDF25"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 (S48/2022)</w:t>
            </w:r>
            <w:r>
              <w:rPr>
                <w:rFonts w:ascii="Arial" w:hAnsi="Arial" w:cs="Arial"/>
                <w:color w:val="000000"/>
                <w:sz w:val="18"/>
                <w:szCs w:val="18"/>
              </w:rPr>
              <w:br/>
            </w:r>
          </w:p>
        </w:tc>
        <w:tc>
          <w:tcPr>
            <w:tcW w:w="1164" w:type="pct"/>
          </w:tcPr>
          <w:p w14:paraId="640A0348" w14:textId="1256844F" w:rsidR="003E3040" w:rsidRDefault="003E3040" w:rsidP="003E3040">
            <w:pPr>
              <w:spacing w:before="120"/>
              <w:jc w:val="left"/>
              <w:rPr>
                <w:rFonts w:ascii="Arial" w:hAnsi="Arial" w:cs="Arial"/>
                <w:color w:val="000000"/>
                <w:sz w:val="18"/>
                <w:szCs w:val="18"/>
              </w:rPr>
            </w:pPr>
            <w:r w:rsidRPr="003E3040">
              <w:rPr>
                <w:rFonts w:ascii="Arial" w:hAnsi="Arial" w:cs="Arial"/>
                <w:color w:val="000000"/>
                <w:sz w:val="18"/>
                <w:szCs w:val="18"/>
              </w:rPr>
              <w:t>Federal Court of Australia</w:t>
            </w:r>
            <w:r w:rsidRPr="003E3040">
              <w:rPr>
                <w:rFonts w:ascii="Arial" w:hAnsi="Arial" w:cs="Arial"/>
                <w:color w:val="000000"/>
                <w:sz w:val="18"/>
                <w:szCs w:val="18"/>
              </w:rPr>
              <w:br/>
              <w:t>[2022] FCA 61</w:t>
            </w:r>
            <w:r w:rsidRPr="003E3040">
              <w:rPr>
                <w:rFonts w:ascii="Arial" w:hAnsi="Arial" w:cs="Arial"/>
                <w:color w:val="000000"/>
                <w:sz w:val="18"/>
                <w:szCs w:val="18"/>
              </w:rPr>
              <w:br/>
            </w:r>
          </w:p>
        </w:tc>
        <w:tc>
          <w:tcPr>
            <w:tcW w:w="1163" w:type="pct"/>
          </w:tcPr>
          <w:p w14:paraId="6F2CC3D6" w14:textId="7CB0A097" w:rsidR="003E3040" w:rsidRPr="009D51B4" w:rsidRDefault="003E3040" w:rsidP="003E3040">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1" w:history="1">
              <w:r w:rsidRPr="006159EF">
                <w:rPr>
                  <w:rStyle w:val="Hyperlink"/>
                  <w:rFonts w:ascii="Arial" w:hAnsi="Arial"/>
                  <w:noProof w:val="0"/>
                  <w:sz w:val="18"/>
                  <w:szCs w:val="18"/>
                </w:rPr>
                <w:t>[2022] HCASL 127</w:t>
              </w:r>
            </w:hyperlink>
          </w:p>
        </w:tc>
      </w:tr>
      <w:tr w:rsidR="003E3040" w:rsidRPr="00D27A4C" w14:paraId="44AA373E" w14:textId="77777777" w:rsidTr="00926DF1">
        <w:trPr>
          <w:cantSplit/>
          <w:trHeight w:val="400"/>
        </w:trPr>
        <w:tc>
          <w:tcPr>
            <w:tcW w:w="344" w:type="pct"/>
          </w:tcPr>
          <w:p w14:paraId="54904E3E" w14:textId="77777777" w:rsidR="003E3040" w:rsidRPr="00D27A4C" w:rsidRDefault="003E3040" w:rsidP="003E3040">
            <w:pPr>
              <w:pStyle w:val="ListParagraph"/>
              <w:keepLines/>
              <w:numPr>
                <w:ilvl w:val="0"/>
                <w:numId w:val="47"/>
              </w:numPr>
              <w:spacing w:before="120"/>
              <w:jc w:val="left"/>
              <w:rPr>
                <w:rFonts w:ascii="Arial" w:hAnsi="Arial" w:cs="Arial"/>
                <w:color w:val="000000"/>
                <w:sz w:val="18"/>
                <w:szCs w:val="18"/>
              </w:rPr>
            </w:pPr>
          </w:p>
        </w:tc>
        <w:tc>
          <w:tcPr>
            <w:tcW w:w="1165" w:type="pct"/>
          </w:tcPr>
          <w:p w14:paraId="3F169137" w14:textId="57432862" w:rsidR="003E3040" w:rsidRDefault="003E3040" w:rsidP="003E3040">
            <w:pPr>
              <w:spacing w:before="120"/>
              <w:jc w:val="left"/>
              <w:rPr>
                <w:rFonts w:ascii="Arial" w:hAnsi="Arial" w:cs="Arial"/>
                <w:color w:val="000000"/>
                <w:sz w:val="18"/>
                <w:szCs w:val="18"/>
              </w:rPr>
            </w:pPr>
            <w:proofErr w:type="spellStart"/>
            <w:r>
              <w:rPr>
                <w:rFonts w:ascii="Arial" w:hAnsi="Arial" w:cs="Arial"/>
                <w:color w:val="000000"/>
                <w:sz w:val="18"/>
                <w:szCs w:val="18"/>
              </w:rPr>
              <w:t>Mohareb</w:t>
            </w:r>
            <w:proofErr w:type="spellEnd"/>
          </w:p>
        </w:tc>
        <w:tc>
          <w:tcPr>
            <w:tcW w:w="1164" w:type="pct"/>
          </w:tcPr>
          <w:p w14:paraId="5FCDCC03" w14:textId="46711ABB"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State of New South Wales &amp; Ors</w:t>
            </w:r>
            <w:r>
              <w:rPr>
                <w:rFonts w:ascii="Arial" w:hAnsi="Arial" w:cs="Arial"/>
                <w:color w:val="000000"/>
                <w:sz w:val="18"/>
                <w:szCs w:val="18"/>
              </w:rPr>
              <w:br/>
              <w:t>(S55/2022)</w:t>
            </w:r>
          </w:p>
        </w:tc>
        <w:tc>
          <w:tcPr>
            <w:tcW w:w="1164" w:type="pct"/>
          </w:tcPr>
          <w:p w14:paraId="7518718B" w14:textId="7C1B5DAF" w:rsidR="003E3040" w:rsidRDefault="003E3040" w:rsidP="003E3040">
            <w:pPr>
              <w:spacing w:before="120"/>
              <w:jc w:val="left"/>
              <w:rPr>
                <w:rFonts w:ascii="Arial" w:hAnsi="Arial" w:cs="Arial"/>
                <w:color w:val="000000"/>
                <w:sz w:val="18"/>
                <w:szCs w:val="18"/>
              </w:rPr>
            </w:pPr>
            <w:r w:rsidRPr="003E3040">
              <w:rPr>
                <w:rFonts w:ascii="Arial" w:hAnsi="Arial" w:cs="Arial"/>
                <w:color w:val="000000"/>
                <w:sz w:val="18"/>
                <w:szCs w:val="18"/>
              </w:rPr>
              <w:t>Court of Appeal of the Supreme Court of New South Wales</w:t>
            </w:r>
            <w:r w:rsidRPr="003E3040">
              <w:rPr>
                <w:rFonts w:ascii="Arial" w:hAnsi="Arial" w:cs="Arial"/>
                <w:color w:val="000000"/>
                <w:sz w:val="18"/>
                <w:szCs w:val="18"/>
              </w:rPr>
              <w:br/>
              <w:t>[2021] NSWCA 278</w:t>
            </w:r>
            <w:r w:rsidRPr="003E3040">
              <w:rPr>
                <w:rFonts w:ascii="Arial" w:hAnsi="Arial" w:cs="Arial"/>
                <w:color w:val="000000"/>
                <w:sz w:val="18"/>
                <w:szCs w:val="18"/>
              </w:rPr>
              <w:br/>
            </w:r>
          </w:p>
        </w:tc>
        <w:tc>
          <w:tcPr>
            <w:tcW w:w="1163" w:type="pct"/>
          </w:tcPr>
          <w:p w14:paraId="45C8D543" w14:textId="7D14E947" w:rsidR="003E3040" w:rsidRPr="009D51B4" w:rsidRDefault="003E3040" w:rsidP="003E3040">
            <w:pPr>
              <w:spacing w:before="120"/>
              <w:jc w:val="left"/>
              <w:rPr>
                <w:rFonts w:ascii="Arial" w:hAnsi="Arial" w:cs="Arial"/>
                <w:color w:val="000000"/>
                <w:sz w:val="18"/>
                <w:szCs w:val="18"/>
              </w:rPr>
            </w:pPr>
            <w:r>
              <w:rPr>
                <w:rFonts w:ascii="Arial" w:hAnsi="Arial" w:cs="Arial"/>
                <w:color w:val="000000"/>
                <w:sz w:val="18"/>
                <w:szCs w:val="18"/>
              </w:rPr>
              <w:t>Application dismissed</w:t>
            </w:r>
            <w:r w:rsidRPr="003E3040">
              <w:rPr>
                <w:rFonts w:ascii="Arial" w:hAnsi="Arial" w:cs="Arial"/>
                <w:color w:val="000000"/>
                <w:sz w:val="18"/>
                <w:szCs w:val="18"/>
              </w:rPr>
              <w:br/>
            </w:r>
            <w:hyperlink r:id="rId132" w:history="1">
              <w:r w:rsidRPr="006159EF">
                <w:rPr>
                  <w:rStyle w:val="Hyperlink"/>
                  <w:rFonts w:ascii="Arial" w:hAnsi="Arial"/>
                  <w:noProof w:val="0"/>
                  <w:sz w:val="18"/>
                  <w:szCs w:val="18"/>
                </w:rPr>
                <w:t>[2022] HCASL 128</w:t>
              </w:r>
            </w:hyperlink>
          </w:p>
        </w:tc>
      </w:tr>
      <w:tr w:rsidR="003E3040" w:rsidRPr="00D27A4C" w14:paraId="594180C5" w14:textId="77777777" w:rsidTr="00926DF1">
        <w:trPr>
          <w:cantSplit/>
          <w:trHeight w:val="400"/>
        </w:trPr>
        <w:tc>
          <w:tcPr>
            <w:tcW w:w="344" w:type="pct"/>
          </w:tcPr>
          <w:p w14:paraId="49C7AFFC" w14:textId="77777777" w:rsidR="003E3040" w:rsidRPr="00D27A4C" w:rsidRDefault="003E3040" w:rsidP="003E3040">
            <w:pPr>
              <w:pStyle w:val="ListParagraph"/>
              <w:keepLines/>
              <w:numPr>
                <w:ilvl w:val="0"/>
                <w:numId w:val="47"/>
              </w:numPr>
              <w:spacing w:before="120"/>
              <w:jc w:val="left"/>
              <w:rPr>
                <w:rFonts w:ascii="Arial" w:hAnsi="Arial" w:cs="Arial"/>
                <w:color w:val="000000"/>
                <w:sz w:val="18"/>
                <w:szCs w:val="18"/>
              </w:rPr>
            </w:pPr>
          </w:p>
        </w:tc>
        <w:tc>
          <w:tcPr>
            <w:tcW w:w="1165" w:type="pct"/>
          </w:tcPr>
          <w:p w14:paraId="0CB72261" w14:textId="511CB406" w:rsidR="003E3040" w:rsidRDefault="003E3040" w:rsidP="003E3040">
            <w:pPr>
              <w:spacing w:before="120"/>
              <w:jc w:val="left"/>
              <w:rPr>
                <w:rFonts w:ascii="Arial" w:hAnsi="Arial" w:cs="Arial"/>
                <w:color w:val="000000"/>
                <w:sz w:val="18"/>
                <w:szCs w:val="18"/>
              </w:rPr>
            </w:pPr>
            <w:proofErr w:type="spellStart"/>
            <w:r>
              <w:rPr>
                <w:rFonts w:ascii="Arial" w:hAnsi="Arial" w:cs="Arial"/>
                <w:color w:val="000000"/>
                <w:sz w:val="18"/>
                <w:szCs w:val="18"/>
              </w:rPr>
              <w:t>Mohareb</w:t>
            </w:r>
            <w:proofErr w:type="spellEnd"/>
          </w:p>
        </w:tc>
        <w:tc>
          <w:tcPr>
            <w:tcW w:w="1164" w:type="pct"/>
          </w:tcPr>
          <w:p w14:paraId="68AEA6D2" w14:textId="55333494"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State of New South Wales &amp; Ors</w:t>
            </w:r>
            <w:r>
              <w:rPr>
                <w:rFonts w:ascii="Arial" w:hAnsi="Arial" w:cs="Arial"/>
                <w:color w:val="000000"/>
                <w:sz w:val="18"/>
                <w:szCs w:val="18"/>
              </w:rPr>
              <w:br/>
              <w:t>(S56/2022)</w:t>
            </w:r>
          </w:p>
        </w:tc>
        <w:tc>
          <w:tcPr>
            <w:tcW w:w="1164" w:type="pct"/>
          </w:tcPr>
          <w:p w14:paraId="0F42C05A" w14:textId="2874E8E9" w:rsidR="003E3040" w:rsidRDefault="003E3040" w:rsidP="003E3040">
            <w:pPr>
              <w:spacing w:before="120"/>
              <w:jc w:val="left"/>
              <w:rPr>
                <w:rFonts w:ascii="Arial" w:hAnsi="Arial" w:cs="Arial"/>
                <w:color w:val="000000"/>
                <w:sz w:val="18"/>
                <w:szCs w:val="18"/>
              </w:rPr>
            </w:pPr>
            <w:r w:rsidRPr="003E3040">
              <w:rPr>
                <w:rFonts w:ascii="Arial" w:hAnsi="Arial" w:cs="Arial"/>
                <w:color w:val="000000"/>
                <w:sz w:val="18"/>
                <w:szCs w:val="18"/>
              </w:rPr>
              <w:t>Court of Appeal of the Supreme Court of New South Wales</w:t>
            </w:r>
            <w:r w:rsidRPr="003E3040">
              <w:rPr>
                <w:rFonts w:ascii="Arial" w:hAnsi="Arial" w:cs="Arial"/>
                <w:color w:val="000000"/>
                <w:sz w:val="18"/>
                <w:szCs w:val="18"/>
              </w:rPr>
              <w:br/>
              <w:t>[2022] NSWCA 45</w:t>
            </w:r>
            <w:r w:rsidRPr="003E3040">
              <w:rPr>
                <w:rFonts w:ascii="Arial" w:hAnsi="Arial" w:cs="Arial"/>
                <w:color w:val="000000"/>
                <w:sz w:val="18"/>
                <w:szCs w:val="18"/>
              </w:rPr>
              <w:br/>
            </w:r>
          </w:p>
        </w:tc>
        <w:tc>
          <w:tcPr>
            <w:tcW w:w="1163" w:type="pct"/>
          </w:tcPr>
          <w:p w14:paraId="0ED9EC0E" w14:textId="765B1208" w:rsidR="003E3040" w:rsidRPr="009D51B4" w:rsidRDefault="003E3040" w:rsidP="003E3040">
            <w:pPr>
              <w:spacing w:before="120"/>
              <w:jc w:val="left"/>
              <w:rPr>
                <w:rFonts w:ascii="Arial" w:hAnsi="Arial" w:cs="Arial"/>
                <w:color w:val="000000"/>
                <w:sz w:val="18"/>
                <w:szCs w:val="18"/>
              </w:rPr>
            </w:pPr>
            <w:r>
              <w:rPr>
                <w:rFonts w:ascii="Arial" w:hAnsi="Arial" w:cs="Arial"/>
                <w:color w:val="000000"/>
                <w:sz w:val="18"/>
                <w:szCs w:val="18"/>
              </w:rPr>
              <w:t>Application dismissed</w:t>
            </w:r>
            <w:r w:rsidRPr="003E3040">
              <w:rPr>
                <w:rFonts w:ascii="Arial" w:hAnsi="Arial" w:cs="Arial"/>
                <w:color w:val="000000"/>
                <w:sz w:val="18"/>
                <w:szCs w:val="18"/>
              </w:rPr>
              <w:br/>
            </w:r>
            <w:hyperlink r:id="rId133" w:history="1">
              <w:r w:rsidRPr="006159EF">
                <w:rPr>
                  <w:rStyle w:val="Hyperlink"/>
                  <w:rFonts w:ascii="Arial" w:hAnsi="Arial"/>
                  <w:noProof w:val="0"/>
                  <w:sz w:val="18"/>
                  <w:szCs w:val="18"/>
                </w:rPr>
                <w:t>[2022] HCASL 129</w:t>
              </w:r>
            </w:hyperlink>
          </w:p>
        </w:tc>
      </w:tr>
      <w:tr w:rsidR="003E3040" w:rsidRPr="00D27A4C" w14:paraId="20217184" w14:textId="77777777" w:rsidTr="00926DF1">
        <w:trPr>
          <w:cantSplit/>
          <w:trHeight w:val="400"/>
        </w:trPr>
        <w:tc>
          <w:tcPr>
            <w:tcW w:w="344" w:type="pct"/>
          </w:tcPr>
          <w:p w14:paraId="10538D9C" w14:textId="77777777" w:rsidR="003E3040" w:rsidRPr="00D27A4C" w:rsidRDefault="003E3040" w:rsidP="003E3040">
            <w:pPr>
              <w:pStyle w:val="ListParagraph"/>
              <w:keepLines/>
              <w:numPr>
                <w:ilvl w:val="0"/>
                <w:numId w:val="47"/>
              </w:numPr>
              <w:spacing w:before="120"/>
              <w:jc w:val="left"/>
              <w:rPr>
                <w:rFonts w:ascii="Arial" w:hAnsi="Arial" w:cs="Arial"/>
                <w:color w:val="000000"/>
                <w:sz w:val="18"/>
                <w:szCs w:val="18"/>
              </w:rPr>
            </w:pPr>
          </w:p>
        </w:tc>
        <w:tc>
          <w:tcPr>
            <w:tcW w:w="1165" w:type="pct"/>
          </w:tcPr>
          <w:p w14:paraId="706C62A6" w14:textId="39511483"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 xml:space="preserve">Jasper </w:t>
            </w:r>
            <w:proofErr w:type="spellStart"/>
            <w:r>
              <w:rPr>
                <w:rFonts w:ascii="Arial" w:hAnsi="Arial" w:cs="Arial"/>
                <w:color w:val="000000"/>
                <w:sz w:val="18"/>
                <w:szCs w:val="18"/>
              </w:rPr>
              <w:t>Lewers</w:t>
            </w:r>
            <w:proofErr w:type="spellEnd"/>
            <w:r>
              <w:rPr>
                <w:rFonts w:ascii="Arial" w:hAnsi="Arial" w:cs="Arial"/>
                <w:color w:val="000000"/>
                <w:sz w:val="18"/>
                <w:szCs w:val="18"/>
              </w:rPr>
              <w:t xml:space="preserve"> (a pseudonym)</w:t>
            </w:r>
          </w:p>
        </w:tc>
        <w:tc>
          <w:tcPr>
            <w:tcW w:w="1164" w:type="pct"/>
          </w:tcPr>
          <w:p w14:paraId="0911775D" w14:textId="768CA653"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(M162/2019)</w:t>
            </w:r>
          </w:p>
        </w:tc>
        <w:tc>
          <w:tcPr>
            <w:tcW w:w="1164" w:type="pct"/>
          </w:tcPr>
          <w:p w14:paraId="7E1CE467" w14:textId="0CD5BBF6"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Supreme Court of Victoria (Court of Appeal)</w:t>
            </w:r>
            <w:r>
              <w:rPr>
                <w:rFonts w:ascii="Arial" w:hAnsi="Arial" w:cs="Arial"/>
                <w:color w:val="000000"/>
                <w:sz w:val="18"/>
                <w:szCs w:val="18"/>
              </w:rPr>
              <w:br/>
              <w:t>[2019] VSCA 272</w:t>
            </w:r>
            <w:r>
              <w:rPr>
                <w:rFonts w:ascii="Arial" w:hAnsi="Arial" w:cs="Arial"/>
                <w:color w:val="000000"/>
                <w:sz w:val="18"/>
                <w:szCs w:val="18"/>
              </w:rPr>
              <w:br/>
            </w:r>
          </w:p>
        </w:tc>
        <w:tc>
          <w:tcPr>
            <w:tcW w:w="1163" w:type="pct"/>
          </w:tcPr>
          <w:p w14:paraId="35733768" w14:textId="6155578A" w:rsidR="003E3040" w:rsidRPr="009D51B4" w:rsidRDefault="003E3040" w:rsidP="003E3040">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4" w:history="1">
              <w:r w:rsidRPr="006159EF">
                <w:rPr>
                  <w:rStyle w:val="Hyperlink"/>
                  <w:rFonts w:ascii="Arial" w:hAnsi="Arial"/>
                  <w:noProof w:val="0"/>
                  <w:sz w:val="18"/>
                  <w:szCs w:val="18"/>
                </w:rPr>
                <w:t>[2022] HCASL 130</w:t>
              </w:r>
            </w:hyperlink>
          </w:p>
        </w:tc>
      </w:tr>
      <w:tr w:rsidR="003E3040" w:rsidRPr="00D27A4C" w14:paraId="32A6F9BD" w14:textId="77777777" w:rsidTr="00926DF1">
        <w:trPr>
          <w:cantSplit/>
          <w:trHeight w:val="400"/>
        </w:trPr>
        <w:tc>
          <w:tcPr>
            <w:tcW w:w="344" w:type="pct"/>
          </w:tcPr>
          <w:p w14:paraId="4D374F05" w14:textId="77777777" w:rsidR="003E3040" w:rsidRPr="00D27A4C" w:rsidRDefault="003E3040" w:rsidP="003E3040">
            <w:pPr>
              <w:pStyle w:val="ListParagraph"/>
              <w:keepLines/>
              <w:numPr>
                <w:ilvl w:val="0"/>
                <w:numId w:val="47"/>
              </w:numPr>
              <w:spacing w:before="120"/>
              <w:jc w:val="left"/>
              <w:rPr>
                <w:rFonts w:ascii="Arial" w:hAnsi="Arial" w:cs="Arial"/>
                <w:color w:val="000000"/>
                <w:sz w:val="18"/>
                <w:szCs w:val="18"/>
              </w:rPr>
            </w:pPr>
          </w:p>
        </w:tc>
        <w:tc>
          <w:tcPr>
            <w:tcW w:w="1165" w:type="pct"/>
          </w:tcPr>
          <w:p w14:paraId="5DDF4B01" w14:textId="3B4AD4B1"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Kellett</w:t>
            </w:r>
          </w:p>
        </w:tc>
        <w:tc>
          <w:tcPr>
            <w:tcW w:w="1164" w:type="pct"/>
          </w:tcPr>
          <w:p w14:paraId="5A4D5D8C" w14:textId="40CE6EEE"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(B46/2021)</w:t>
            </w:r>
          </w:p>
        </w:tc>
        <w:tc>
          <w:tcPr>
            <w:tcW w:w="1164" w:type="pct"/>
          </w:tcPr>
          <w:p w14:paraId="650AAB2F" w14:textId="4A827820"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Court of Appeal of the Supreme Court of Queensland</w:t>
            </w:r>
            <w:r>
              <w:rPr>
                <w:rFonts w:ascii="Arial" w:hAnsi="Arial" w:cs="Arial"/>
                <w:color w:val="000000"/>
                <w:sz w:val="18"/>
                <w:szCs w:val="18"/>
              </w:rPr>
              <w:br/>
              <w:t>[2020] QCA 199</w:t>
            </w:r>
            <w:r>
              <w:rPr>
                <w:rFonts w:ascii="Arial" w:hAnsi="Arial" w:cs="Arial"/>
                <w:color w:val="000000"/>
                <w:sz w:val="18"/>
                <w:szCs w:val="18"/>
              </w:rPr>
              <w:br/>
            </w:r>
          </w:p>
        </w:tc>
        <w:tc>
          <w:tcPr>
            <w:tcW w:w="1163" w:type="pct"/>
          </w:tcPr>
          <w:p w14:paraId="6556166B" w14:textId="57459660" w:rsidR="003E3040" w:rsidRPr="009D51B4" w:rsidRDefault="003E3040" w:rsidP="003E3040">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5" w:history="1">
              <w:r w:rsidRPr="006159EF">
                <w:rPr>
                  <w:rStyle w:val="Hyperlink"/>
                  <w:rFonts w:ascii="Arial" w:hAnsi="Arial"/>
                  <w:noProof w:val="0"/>
                  <w:sz w:val="18"/>
                  <w:szCs w:val="18"/>
                </w:rPr>
                <w:t>[2022] HCASL 131</w:t>
              </w:r>
            </w:hyperlink>
          </w:p>
        </w:tc>
      </w:tr>
      <w:tr w:rsidR="003E3040" w:rsidRPr="00D27A4C" w14:paraId="3DFCBD20" w14:textId="77777777" w:rsidTr="00926DF1">
        <w:trPr>
          <w:cantSplit/>
          <w:trHeight w:val="400"/>
        </w:trPr>
        <w:tc>
          <w:tcPr>
            <w:tcW w:w="344" w:type="pct"/>
          </w:tcPr>
          <w:p w14:paraId="7857E55F" w14:textId="77777777" w:rsidR="003E3040" w:rsidRPr="00D27A4C" w:rsidRDefault="003E3040" w:rsidP="003E3040">
            <w:pPr>
              <w:pStyle w:val="ListParagraph"/>
              <w:keepLines/>
              <w:numPr>
                <w:ilvl w:val="0"/>
                <w:numId w:val="47"/>
              </w:numPr>
              <w:spacing w:before="120"/>
              <w:jc w:val="left"/>
              <w:rPr>
                <w:rFonts w:ascii="Arial" w:hAnsi="Arial" w:cs="Arial"/>
                <w:color w:val="000000"/>
                <w:sz w:val="18"/>
                <w:szCs w:val="18"/>
              </w:rPr>
            </w:pPr>
          </w:p>
        </w:tc>
        <w:tc>
          <w:tcPr>
            <w:tcW w:w="1165" w:type="pct"/>
          </w:tcPr>
          <w:p w14:paraId="5F075D3A" w14:textId="6D0A6D80" w:rsidR="003E3040" w:rsidRDefault="003E3040" w:rsidP="003E3040">
            <w:pPr>
              <w:spacing w:before="120"/>
              <w:jc w:val="left"/>
              <w:rPr>
                <w:rFonts w:ascii="Arial" w:hAnsi="Arial" w:cs="Arial"/>
                <w:color w:val="000000"/>
                <w:sz w:val="18"/>
                <w:szCs w:val="18"/>
              </w:rPr>
            </w:pPr>
            <w:r w:rsidRPr="003E3040">
              <w:rPr>
                <w:rFonts w:ascii="Arial" w:hAnsi="Arial" w:cs="Arial"/>
                <w:color w:val="000000"/>
                <w:sz w:val="18"/>
                <w:szCs w:val="18"/>
              </w:rPr>
              <w:t>CMC16 &amp; Anor</w:t>
            </w:r>
          </w:p>
        </w:tc>
        <w:tc>
          <w:tcPr>
            <w:tcW w:w="1164" w:type="pct"/>
          </w:tcPr>
          <w:p w14:paraId="389073AE" w14:textId="4417B139" w:rsidR="003E3040" w:rsidRDefault="003E3040" w:rsidP="003E3040">
            <w:pPr>
              <w:spacing w:before="120"/>
              <w:jc w:val="left"/>
              <w:rPr>
                <w:rFonts w:ascii="Arial" w:hAnsi="Arial" w:cs="Arial"/>
                <w:color w:val="000000"/>
                <w:sz w:val="18"/>
                <w:szCs w:val="18"/>
              </w:rPr>
            </w:pPr>
            <w:r w:rsidRPr="003E3040">
              <w:rPr>
                <w:rFonts w:ascii="Arial" w:hAnsi="Arial" w:cs="Arial"/>
                <w:color w:val="000000"/>
                <w:sz w:val="18"/>
                <w:szCs w:val="18"/>
              </w:rPr>
              <w:t>Minister for Immigration, Citizenship, Migrant Services and Multicultural Affairs &amp; Anor</w:t>
            </w:r>
            <w:r w:rsidRPr="003E3040">
              <w:rPr>
                <w:rFonts w:ascii="Arial" w:hAnsi="Arial" w:cs="Arial"/>
                <w:color w:val="000000"/>
                <w:sz w:val="18"/>
                <w:szCs w:val="18"/>
              </w:rPr>
              <w:br/>
              <w:t>(M16/2022)</w:t>
            </w:r>
            <w:r w:rsidRPr="003E3040">
              <w:rPr>
                <w:rFonts w:ascii="Arial" w:hAnsi="Arial" w:cs="Arial"/>
                <w:color w:val="000000"/>
                <w:sz w:val="18"/>
                <w:szCs w:val="18"/>
              </w:rPr>
              <w:br/>
            </w:r>
          </w:p>
        </w:tc>
        <w:tc>
          <w:tcPr>
            <w:tcW w:w="1164" w:type="pct"/>
          </w:tcPr>
          <w:p w14:paraId="18B2AC7C" w14:textId="5BF6BCEF"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121</w:t>
            </w:r>
          </w:p>
        </w:tc>
        <w:tc>
          <w:tcPr>
            <w:tcW w:w="1163" w:type="pct"/>
          </w:tcPr>
          <w:p w14:paraId="198FD576" w14:textId="6E9AA8C0" w:rsidR="003E3040" w:rsidRPr="009D51B4" w:rsidRDefault="003E3040" w:rsidP="003E3040">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Pr>
                <w:rFonts w:ascii="Arial" w:hAnsi="Arial" w:cs="Arial"/>
                <w:color w:val="000000"/>
                <w:sz w:val="18"/>
                <w:szCs w:val="18"/>
              </w:rPr>
              <w:br/>
            </w:r>
            <w:hyperlink r:id="rId136" w:history="1">
              <w:r w:rsidRPr="006159EF">
                <w:rPr>
                  <w:rStyle w:val="Hyperlink"/>
                  <w:rFonts w:ascii="Arial" w:hAnsi="Arial"/>
                  <w:noProof w:val="0"/>
                  <w:sz w:val="18"/>
                  <w:szCs w:val="18"/>
                </w:rPr>
                <w:t>[2022] HCASL 132</w:t>
              </w:r>
            </w:hyperlink>
          </w:p>
        </w:tc>
      </w:tr>
      <w:tr w:rsidR="003E3040" w:rsidRPr="00D27A4C" w14:paraId="68CF9892" w14:textId="77777777" w:rsidTr="00926DF1">
        <w:trPr>
          <w:cantSplit/>
          <w:trHeight w:val="400"/>
        </w:trPr>
        <w:tc>
          <w:tcPr>
            <w:tcW w:w="344" w:type="pct"/>
          </w:tcPr>
          <w:p w14:paraId="28A33FE3" w14:textId="77777777" w:rsidR="003E3040" w:rsidRPr="00D27A4C" w:rsidRDefault="003E3040" w:rsidP="003E3040">
            <w:pPr>
              <w:pStyle w:val="ListParagraph"/>
              <w:keepLines/>
              <w:numPr>
                <w:ilvl w:val="0"/>
                <w:numId w:val="47"/>
              </w:numPr>
              <w:spacing w:before="120"/>
              <w:jc w:val="left"/>
              <w:rPr>
                <w:rFonts w:ascii="Arial" w:hAnsi="Arial" w:cs="Arial"/>
                <w:color w:val="000000"/>
                <w:sz w:val="18"/>
                <w:szCs w:val="18"/>
              </w:rPr>
            </w:pPr>
          </w:p>
        </w:tc>
        <w:tc>
          <w:tcPr>
            <w:tcW w:w="1165" w:type="pct"/>
          </w:tcPr>
          <w:p w14:paraId="19D6AA9A" w14:textId="58DD2F2D"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Charles Parker – a pseudonym</w:t>
            </w:r>
          </w:p>
        </w:tc>
        <w:tc>
          <w:tcPr>
            <w:tcW w:w="1164" w:type="pct"/>
          </w:tcPr>
          <w:p w14:paraId="5B5BA631" w14:textId="3867B228"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(M19/2022)</w:t>
            </w:r>
          </w:p>
        </w:tc>
        <w:tc>
          <w:tcPr>
            <w:tcW w:w="1164" w:type="pct"/>
          </w:tcPr>
          <w:p w14:paraId="6603943E" w14:textId="7D2A7614" w:rsidR="003E3040" w:rsidRDefault="003E3040" w:rsidP="003E3040">
            <w:pPr>
              <w:spacing w:before="120"/>
              <w:jc w:val="left"/>
              <w:rPr>
                <w:rFonts w:ascii="Arial" w:hAnsi="Arial" w:cs="Arial"/>
                <w:color w:val="000000"/>
                <w:sz w:val="18"/>
                <w:szCs w:val="18"/>
              </w:rPr>
            </w:pPr>
            <w:r>
              <w:rPr>
                <w:rFonts w:ascii="Arial" w:hAnsi="Arial" w:cs="Arial"/>
                <w:color w:val="000000"/>
                <w:sz w:val="18"/>
                <w:szCs w:val="18"/>
              </w:rPr>
              <w:t>Court of Appeal of the Supreme Court of Victoria</w:t>
            </w:r>
            <w:r>
              <w:rPr>
                <w:rFonts w:ascii="Arial" w:hAnsi="Arial" w:cs="Arial"/>
                <w:color w:val="000000"/>
                <w:sz w:val="18"/>
                <w:szCs w:val="18"/>
              </w:rPr>
              <w:br/>
              <w:t>[2021] VSCA 348</w:t>
            </w:r>
            <w:r>
              <w:rPr>
                <w:rFonts w:ascii="Arial" w:hAnsi="Arial" w:cs="Arial"/>
                <w:color w:val="000000"/>
                <w:sz w:val="18"/>
                <w:szCs w:val="18"/>
              </w:rPr>
              <w:br/>
            </w:r>
          </w:p>
        </w:tc>
        <w:tc>
          <w:tcPr>
            <w:tcW w:w="1163" w:type="pct"/>
          </w:tcPr>
          <w:p w14:paraId="325B04B0" w14:textId="0967C5F1" w:rsidR="003E3040" w:rsidRPr="009D51B4" w:rsidRDefault="003E3040" w:rsidP="003E3040">
            <w:pPr>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7" w:history="1">
              <w:r w:rsidRPr="006159EF">
                <w:rPr>
                  <w:rStyle w:val="Hyperlink"/>
                  <w:rFonts w:ascii="Arial" w:hAnsi="Arial"/>
                  <w:noProof w:val="0"/>
                  <w:sz w:val="18"/>
                  <w:szCs w:val="18"/>
                </w:rPr>
                <w:t>[2022] HCASL 133</w:t>
              </w:r>
            </w:hyperlink>
          </w:p>
        </w:tc>
      </w:tr>
    </w:tbl>
    <w:p w14:paraId="640831C8" w14:textId="77777777" w:rsidR="008A3056" w:rsidRDefault="008A3056" w:rsidP="008A3056"/>
    <w:p w14:paraId="2DD7F65C" w14:textId="7A515907" w:rsidR="003E3040" w:rsidRDefault="003E3040">
      <w:pPr>
        <w:jc w:val="left"/>
      </w:pPr>
      <w:r>
        <w:br w:type="page"/>
      </w:r>
    </w:p>
    <w:p w14:paraId="48A24378" w14:textId="06169F7F" w:rsidR="003E3040" w:rsidRPr="002E2CD9" w:rsidRDefault="003E3040" w:rsidP="003E3040">
      <w:pPr>
        <w:jc w:val="left"/>
        <w:rPr>
          <w:rFonts w:ascii="Arial" w:hAnsi="Arial" w:cs="Arial"/>
          <w:b/>
          <w:sz w:val="28"/>
          <w:szCs w:val="28"/>
        </w:rPr>
      </w:pPr>
      <w:r w:rsidRPr="00E71766">
        <w:rPr>
          <w:rFonts w:ascii="Arial" w:hAnsi="Arial" w:cs="Arial"/>
          <w:b/>
          <w:sz w:val="28"/>
          <w:szCs w:val="28"/>
        </w:rPr>
        <w:lastRenderedPageBreak/>
        <w:t>1</w:t>
      </w:r>
      <w:r>
        <w:rPr>
          <w:rFonts w:ascii="Arial" w:hAnsi="Arial" w:cs="Arial"/>
          <w:b/>
          <w:sz w:val="28"/>
          <w:szCs w:val="28"/>
        </w:rPr>
        <w:t>9 August</w:t>
      </w:r>
      <w:r w:rsidRPr="00E71766">
        <w:rPr>
          <w:rFonts w:ascii="Arial" w:hAnsi="Arial" w:cs="Arial"/>
          <w:b/>
          <w:sz w:val="28"/>
          <w:szCs w:val="28"/>
        </w:rPr>
        <w:t xml:space="preserve"> 2022: Canberra and by video link</w:t>
      </w:r>
    </w:p>
    <w:p w14:paraId="14033DF8" w14:textId="77777777" w:rsidR="003E3040" w:rsidRPr="00336026" w:rsidRDefault="003E3040" w:rsidP="003E3040"/>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3E3040" w:rsidRPr="00336026" w14:paraId="430F1155" w14:textId="77777777" w:rsidTr="006B1EC3">
        <w:trPr>
          <w:cantSplit/>
          <w:trHeight w:val="400"/>
          <w:tblHeader/>
        </w:trPr>
        <w:tc>
          <w:tcPr>
            <w:tcW w:w="567" w:type="dxa"/>
            <w:tcBorders>
              <w:top w:val="single" w:sz="4" w:space="0" w:color="auto"/>
              <w:bottom w:val="single" w:sz="4" w:space="0" w:color="auto"/>
            </w:tcBorders>
          </w:tcPr>
          <w:p w14:paraId="5B6D11BC" w14:textId="77777777" w:rsidR="003E3040" w:rsidRPr="00336026" w:rsidRDefault="003E3040" w:rsidP="006B1EC3">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24E2D72" w14:textId="77777777" w:rsidR="003E3040" w:rsidRPr="00336026" w:rsidRDefault="003E3040" w:rsidP="006B1EC3">
            <w:pPr>
              <w:keepLines/>
              <w:jc w:val="left"/>
              <w:rPr>
                <w:rFonts w:ascii="Arial" w:hAnsi="Arial" w:cs="Arial"/>
                <w:i/>
                <w:color w:val="000000"/>
                <w:sz w:val="18"/>
              </w:rPr>
            </w:pPr>
            <w:r w:rsidRPr="00336026">
              <w:rPr>
                <w:rFonts w:ascii="Arial" w:hAnsi="Arial" w:cs="Arial"/>
                <w:i/>
                <w:color w:val="000000"/>
                <w:sz w:val="18"/>
              </w:rPr>
              <w:br/>
              <w:t>Applicant</w:t>
            </w:r>
          </w:p>
          <w:p w14:paraId="0C322138" w14:textId="77777777" w:rsidR="003E3040" w:rsidRPr="00336026" w:rsidRDefault="003E3040" w:rsidP="006B1EC3">
            <w:pPr>
              <w:keepLines/>
              <w:jc w:val="left"/>
              <w:rPr>
                <w:rFonts w:ascii="Arial" w:hAnsi="Arial" w:cs="Arial"/>
                <w:i/>
                <w:color w:val="000000"/>
                <w:sz w:val="18"/>
              </w:rPr>
            </w:pPr>
          </w:p>
        </w:tc>
        <w:tc>
          <w:tcPr>
            <w:tcW w:w="1914" w:type="dxa"/>
            <w:tcBorders>
              <w:top w:val="single" w:sz="4" w:space="0" w:color="auto"/>
              <w:bottom w:val="single" w:sz="4" w:space="0" w:color="auto"/>
            </w:tcBorders>
          </w:tcPr>
          <w:p w14:paraId="7A311AAA" w14:textId="77777777" w:rsidR="003E3040" w:rsidRPr="00336026" w:rsidRDefault="003E3040" w:rsidP="006B1EC3">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48D8DADE" w14:textId="77777777" w:rsidR="003E3040" w:rsidRPr="00336026" w:rsidRDefault="003E3040" w:rsidP="006B1EC3">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42514F97" w14:textId="77777777" w:rsidR="003E3040" w:rsidRPr="00336026" w:rsidRDefault="003E3040" w:rsidP="006B1EC3">
            <w:pPr>
              <w:keepLines/>
              <w:jc w:val="left"/>
              <w:rPr>
                <w:rFonts w:ascii="Arial" w:hAnsi="Arial" w:cs="Arial"/>
                <w:i/>
                <w:color w:val="000000"/>
                <w:sz w:val="18"/>
              </w:rPr>
            </w:pPr>
          </w:p>
          <w:p w14:paraId="44671EA2" w14:textId="77777777" w:rsidR="003E3040" w:rsidRPr="00336026" w:rsidRDefault="003E3040" w:rsidP="006B1EC3">
            <w:pPr>
              <w:keepLines/>
              <w:jc w:val="left"/>
              <w:rPr>
                <w:rFonts w:ascii="Arial" w:hAnsi="Arial" w:cs="Arial"/>
                <w:i/>
                <w:color w:val="000000"/>
                <w:sz w:val="18"/>
              </w:rPr>
            </w:pPr>
            <w:r w:rsidRPr="00336026">
              <w:rPr>
                <w:rFonts w:ascii="Arial" w:hAnsi="Arial" w:cs="Arial"/>
                <w:i/>
                <w:color w:val="000000"/>
                <w:sz w:val="18"/>
              </w:rPr>
              <w:t>Result</w:t>
            </w:r>
          </w:p>
        </w:tc>
      </w:tr>
      <w:tr w:rsidR="003E3040" w:rsidRPr="00336026" w14:paraId="39321577" w14:textId="77777777" w:rsidTr="006B1EC3">
        <w:trPr>
          <w:cantSplit/>
          <w:trHeight w:val="400"/>
        </w:trPr>
        <w:tc>
          <w:tcPr>
            <w:tcW w:w="567" w:type="dxa"/>
          </w:tcPr>
          <w:p w14:paraId="3418B39C" w14:textId="77777777" w:rsidR="003E3040" w:rsidRPr="00336026" w:rsidRDefault="003E3040" w:rsidP="003E3040">
            <w:pPr>
              <w:pStyle w:val="ListParagraph"/>
              <w:keepLines/>
              <w:numPr>
                <w:ilvl w:val="0"/>
                <w:numId w:val="49"/>
              </w:numPr>
              <w:spacing w:before="120"/>
              <w:contextualSpacing w:val="0"/>
              <w:jc w:val="right"/>
              <w:rPr>
                <w:rFonts w:ascii="Arial" w:hAnsi="Arial" w:cs="Arial"/>
                <w:color w:val="000000"/>
                <w:sz w:val="18"/>
              </w:rPr>
            </w:pPr>
          </w:p>
        </w:tc>
        <w:tc>
          <w:tcPr>
            <w:tcW w:w="1913" w:type="dxa"/>
          </w:tcPr>
          <w:p w14:paraId="32AF3752" w14:textId="27D1B712" w:rsidR="003E3040" w:rsidRPr="002C69AC" w:rsidRDefault="003E3040" w:rsidP="003E3040">
            <w:pPr>
              <w:spacing w:before="120"/>
              <w:jc w:val="left"/>
              <w:rPr>
                <w:rFonts w:ascii="Arial" w:hAnsi="Arial" w:cs="Arial"/>
                <w:sz w:val="18"/>
                <w:szCs w:val="18"/>
              </w:rPr>
            </w:pPr>
            <w:r w:rsidRPr="003E3040">
              <w:rPr>
                <w:rFonts w:ascii="Arial" w:hAnsi="Arial" w:cs="Arial"/>
                <w:sz w:val="18"/>
                <w:szCs w:val="18"/>
              </w:rPr>
              <w:t>Agnew</w:t>
            </w:r>
          </w:p>
        </w:tc>
        <w:tc>
          <w:tcPr>
            <w:tcW w:w="1914" w:type="dxa"/>
          </w:tcPr>
          <w:p w14:paraId="06EA21DB" w14:textId="3368F4DF" w:rsidR="003E3040" w:rsidRPr="002C69AC" w:rsidRDefault="003E3040" w:rsidP="003E3040">
            <w:pPr>
              <w:spacing w:before="120"/>
              <w:jc w:val="left"/>
              <w:rPr>
                <w:rFonts w:ascii="Arial" w:hAnsi="Arial" w:cs="Arial"/>
                <w:sz w:val="18"/>
                <w:szCs w:val="18"/>
              </w:rPr>
            </w:pPr>
            <w:r w:rsidRPr="003E3040">
              <w:rPr>
                <w:rFonts w:ascii="Arial" w:hAnsi="Arial" w:cs="Arial"/>
                <w:sz w:val="18"/>
                <w:szCs w:val="18"/>
              </w:rPr>
              <w:t>The Queen</w:t>
            </w:r>
            <w:r w:rsidRPr="003E3040">
              <w:rPr>
                <w:rFonts w:ascii="Arial" w:hAnsi="Arial" w:cs="Arial"/>
                <w:sz w:val="18"/>
                <w:szCs w:val="18"/>
              </w:rPr>
              <w:br/>
              <w:t>(B78/2021)</w:t>
            </w:r>
            <w:r w:rsidRPr="003E3040">
              <w:rPr>
                <w:rFonts w:ascii="Arial" w:hAnsi="Arial" w:cs="Arial"/>
                <w:sz w:val="18"/>
                <w:szCs w:val="18"/>
              </w:rPr>
              <w:br/>
            </w:r>
          </w:p>
        </w:tc>
        <w:tc>
          <w:tcPr>
            <w:tcW w:w="1914" w:type="dxa"/>
          </w:tcPr>
          <w:p w14:paraId="5F217299" w14:textId="5C86E5DA" w:rsidR="003E3040" w:rsidRPr="002C69AC" w:rsidRDefault="003E3040" w:rsidP="003E3040">
            <w:pPr>
              <w:spacing w:before="120"/>
              <w:jc w:val="left"/>
              <w:rPr>
                <w:rFonts w:ascii="Arial" w:hAnsi="Arial" w:cs="Arial"/>
                <w:sz w:val="18"/>
                <w:szCs w:val="18"/>
              </w:rPr>
            </w:pPr>
            <w:r w:rsidRPr="003E3040">
              <w:rPr>
                <w:rFonts w:ascii="Arial" w:hAnsi="Arial" w:cs="Arial"/>
                <w:sz w:val="18"/>
                <w:szCs w:val="18"/>
              </w:rPr>
              <w:t>Supreme Court of Queensland (Court of Appeal)</w:t>
            </w:r>
            <w:r w:rsidRPr="003E3040">
              <w:rPr>
                <w:rFonts w:ascii="Arial" w:hAnsi="Arial" w:cs="Arial"/>
                <w:sz w:val="18"/>
                <w:szCs w:val="18"/>
              </w:rPr>
              <w:br/>
              <w:t>[2021] QCA 190</w:t>
            </w:r>
            <w:r w:rsidRPr="003E3040">
              <w:rPr>
                <w:rFonts w:ascii="Arial" w:hAnsi="Arial" w:cs="Arial"/>
                <w:sz w:val="18"/>
                <w:szCs w:val="18"/>
              </w:rPr>
              <w:br/>
            </w:r>
          </w:p>
        </w:tc>
        <w:tc>
          <w:tcPr>
            <w:tcW w:w="1914" w:type="dxa"/>
          </w:tcPr>
          <w:p w14:paraId="21363F96" w14:textId="59DC0CE7" w:rsidR="003E3040" w:rsidRPr="002C69AC" w:rsidRDefault="003E3040" w:rsidP="003E3040">
            <w:pPr>
              <w:spacing w:before="120"/>
              <w:jc w:val="left"/>
              <w:rPr>
                <w:rFonts w:ascii="Arial" w:hAnsi="Arial" w:cs="Arial"/>
                <w:sz w:val="18"/>
                <w:szCs w:val="18"/>
              </w:rPr>
            </w:pPr>
            <w:r>
              <w:rPr>
                <w:rFonts w:ascii="Arial" w:hAnsi="Arial" w:cs="Arial"/>
                <w:sz w:val="18"/>
                <w:szCs w:val="18"/>
              </w:rPr>
              <w:t>Application dismissed</w:t>
            </w:r>
            <w:r w:rsidR="00116C91">
              <w:rPr>
                <w:rFonts w:ascii="Arial" w:hAnsi="Arial" w:cs="Arial"/>
                <w:sz w:val="18"/>
                <w:szCs w:val="18"/>
              </w:rPr>
              <w:br/>
            </w:r>
            <w:hyperlink r:id="rId138" w:history="1">
              <w:r w:rsidR="00116C91" w:rsidRPr="00116C91">
                <w:rPr>
                  <w:rStyle w:val="Hyperlink"/>
                  <w:rFonts w:ascii="Arial" w:hAnsi="Arial"/>
                  <w:noProof w:val="0"/>
                  <w:sz w:val="18"/>
                  <w:szCs w:val="18"/>
                </w:rPr>
                <w:t xml:space="preserve">[2022] </w:t>
              </w:r>
              <w:proofErr w:type="spellStart"/>
              <w:r w:rsidR="00116C91" w:rsidRPr="00116C91">
                <w:rPr>
                  <w:rStyle w:val="Hyperlink"/>
                  <w:rFonts w:ascii="Arial" w:hAnsi="Arial"/>
                  <w:noProof w:val="0"/>
                  <w:sz w:val="18"/>
                  <w:szCs w:val="18"/>
                </w:rPr>
                <w:t>HCATrans</w:t>
              </w:r>
              <w:proofErr w:type="spellEnd"/>
              <w:r w:rsidR="00116C91" w:rsidRPr="00116C91">
                <w:rPr>
                  <w:rStyle w:val="Hyperlink"/>
                  <w:rFonts w:ascii="Arial" w:hAnsi="Arial"/>
                  <w:noProof w:val="0"/>
                  <w:sz w:val="18"/>
                  <w:szCs w:val="18"/>
                </w:rPr>
                <w:t xml:space="preserve"> 138</w:t>
              </w:r>
            </w:hyperlink>
          </w:p>
        </w:tc>
      </w:tr>
      <w:tr w:rsidR="003E3040" w:rsidRPr="00336026" w14:paraId="35CFC71A" w14:textId="77777777" w:rsidTr="006B1EC3">
        <w:trPr>
          <w:cantSplit/>
          <w:trHeight w:val="1232"/>
        </w:trPr>
        <w:tc>
          <w:tcPr>
            <w:tcW w:w="567" w:type="dxa"/>
          </w:tcPr>
          <w:p w14:paraId="0CB94765" w14:textId="77777777" w:rsidR="003E3040" w:rsidRPr="00336026" w:rsidRDefault="003E3040" w:rsidP="003E3040">
            <w:pPr>
              <w:pStyle w:val="ListParagraph"/>
              <w:keepLines/>
              <w:numPr>
                <w:ilvl w:val="0"/>
                <w:numId w:val="49"/>
              </w:numPr>
              <w:spacing w:before="120"/>
              <w:contextualSpacing w:val="0"/>
              <w:jc w:val="right"/>
              <w:rPr>
                <w:rFonts w:ascii="Arial" w:hAnsi="Arial" w:cs="Arial"/>
                <w:color w:val="000000"/>
                <w:sz w:val="18"/>
              </w:rPr>
            </w:pPr>
          </w:p>
        </w:tc>
        <w:tc>
          <w:tcPr>
            <w:tcW w:w="1913" w:type="dxa"/>
          </w:tcPr>
          <w:p w14:paraId="3AF4B34D" w14:textId="574FC669" w:rsidR="003E3040" w:rsidRPr="002C69AC" w:rsidRDefault="003E3040" w:rsidP="003E3040">
            <w:pPr>
              <w:spacing w:before="120"/>
              <w:jc w:val="left"/>
              <w:rPr>
                <w:rFonts w:ascii="Arial" w:hAnsi="Arial" w:cs="Arial"/>
                <w:sz w:val="18"/>
                <w:szCs w:val="18"/>
              </w:rPr>
            </w:pPr>
            <w:proofErr w:type="spellStart"/>
            <w:r w:rsidRPr="003E3040">
              <w:rPr>
                <w:rFonts w:ascii="Arial" w:hAnsi="Arial" w:cs="Arial"/>
                <w:sz w:val="18"/>
                <w:szCs w:val="18"/>
              </w:rPr>
              <w:t>Goldspan</w:t>
            </w:r>
            <w:proofErr w:type="spellEnd"/>
            <w:r w:rsidRPr="003E3040">
              <w:rPr>
                <w:rFonts w:ascii="Arial" w:hAnsi="Arial" w:cs="Arial"/>
                <w:sz w:val="18"/>
                <w:szCs w:val="18"/>
              </w:rPr>
              <w:t xml:space="preserve"> Investments Pty Ltd &amp; Ors</w:t>
            </w:r>
          </w:p>
        </w:tc>
        <w:tc>
          <w:tcPr>
            <w:tcW w:w="1914" w:type="dxa"/>
          </w:tcPr>
          <w:p w14:paraId="588F60FF" w14:textId="2A7B8FC0" w:rsidR="003E3040" w:rsidRPr="002C69AC" w:rsidRDefault="003E3040" w:rsidP="003E3040">
            <w:pPr>
              <w:spacing w:before="120"/>
              <w:jc w:val="left"/>
              <w:rPr>
                <w:rFonts w:ascii="Arial" w:hAnsi="Arial" w:cs="Arial"/>
                <w:sz w:val="18"/>
                <w:szCs w:val="18"/>
              </w:rPr>
            </w:pPr>
            <w:r w:rsidRPr="003E3040">
              <w:rPr>
                <w:rFonts w:ascii="Arial" w:hAnsi="Arial" w:cs="Arial"/>
                <w:sz w:val="18"/>
                <w:szCs w:val="18"/>
              </w:rPr>
              <w:t>Chappell as executor of the Estate of Robert Hastings Hitchcock</w:t>
            </w:r>
            <w:r w:rsidRPr="003E3040">
              <w:rPr>
                <w:rFonts w:ascii="Arial" w:hAnsi="Arial" w:cs="Arial"/>
                <w:sz w:val="18"/>
                <w:szCs w:val="18"/>
              </w:rPr>
              <w:br/>
              <w:t>(P54/2021)</w:t>
            </w:r>
            <w:r w:rsidRPr="003E3040">
              <w:rPr>
                <w:rFonts w:ascii="Arial" w:hAnsi="Arial" w:cs="Arial"/>
                <w:sz w:val="18"/>
                <w:szCs w:val="18"/>
              </w:rPr>
              <w:br/>
            </w:r>
          </w:p>
        </w:tc>
        <w:tc>
          <w:tcPr>
            <w:tcW w:w="1914" w:type="dxa"/>
          </w:tcPr>
          <w:p w14:paraId="0F88F02E" w14:textId="614677EA" w:rsidR="003E3040" w:rsidRPr="002C69AC" w:rsidRDefault="003E3040" w:rsidP="003E3040">
            <w:pPr>
              <w:spacing w:before="120"/>
              <w:jc w:val="left"/>
              <w:rPr>
                <w:rFonts w:ascii="Arial" w:hAnsi="Arial" w:cs="Arial"/>
                <w:sz w:val="18"/>
                <w:szCs w:val="18"/>
              </w:rPr>
            </w:pPr>
            <w:r w:rsidRPr="003E3040">
              <w:rPr>
                <w:rFonts w:ascii="Arial" w:hAnsi="Arial" w:cs="Arial"/>
                <w:sz w:val="18"/>
                <w:szCs w:val="18"/>
              </w:rPr>
              <w:t>Supreme Court of Western Australia (Court of Appeal)</w:t>
            </w:r>
            <w:r w:rsidRPr="003E3040">
              <w:rPr>
                <w:rFonts w:ascii="Arial" w:hAnsi="Arial" w:cs="Arial"/>
                <w:sz w:val="18"/>
                <w:szCs w:val="18"/>
              </w:rPr>
              <w:br/>
              <w:t>[2021] WASCA 205</w:t>
            </w:r>
            <w:r w:rsidRPr="003E3040">
              <w:rPr>
                <w:rFonts w:ascii="Arial" w:hAnsi="Arial" w:cs="Arial"/>
                <w:sz w:val="18"/>
                <w:szCs w:val="18"/>
              </w:rPr>
              <w:br/>
            </w:r>
          </w:p>
        </w:tc>
        <w:tc>
          <w:tcPr>
            <w:tcW w:w="1914" w:type="dxa"/>
          </w:tcPr>
          <w:p w14:paraId="1372CA83" w14:textId="17776265" w:rsidR="003E3040" w:rsidRPr="002C69AC" w:rsidRDefault="003E3040" w:rsidP="003E3040">
            <w:pPr>
              <w:spacing w:before="120"/>
              <w:jc w:val="left"/>
              <w:rPr>
                <w:rFonts w:ascii="Arial" w:hAnsi="Arial" w:cs="Arial"/>
                <w:sz w:val="18"/>
                <w:szCs w:val="18"/>
              </w:rPr>
            </w:pPr>
            <w:r>
              <w:rPr>
                <w:rFonts w:ascii="Arial" w:hAnsi="Arial" w:cs="Arial"/>
                <w:sz w:val="18"/>
                <w:szCs w:val="18"/>
              </w:rPr>
              <w:t>Application dismissed with costs</w:t>
            </w:r>
            <w:r w:rsidR="00116C91">
              <w:rPr>
                <w:rFonts w:ascii="Arial" w:hAnsi="Arial" w:cs="Arial"/>
                <w:sz w:val="18"/>
                <w:szCs w:val="18"/>
              </w:rPr>
              <w:br/>
            </w:r>
            <w:hyperlink r:id="rId139" w:history="1">
              <w:r w:rsidR="00116C91" w:rsidRPr="00116C91">
                <w:rPr>
                  <w:rStyle w:val="Hyperlink"/>
                  <w:rFonts w:ascii="Arial" w:hAnsi="Arial"/>
                  <w:noProof w:val="0"/>
                  <w:sz w:val="18"/>
                  <w:szCs w:val="18"/>
                </w:rPr>
                <w:t xml:space="preserve">[2022] </w:t>
              </w:r>
              <w:proofErr w:type="spellStart"/>
              <w:r w:rsidR="00116C91" w:rsidRPr="00116C91">
                <w:rPr>
                  <w:rStyle w:val="Hyperlink"/>
                  <w:rFonts w:ascii="Arial" w:hAnsi="Arial"/>
                  <w:noProof w:val="0"/>
                  <w:sz w:val="18"/>
                  <w:szCs w:val="18"/>
                </w:rPr>
                <w:t>HCATrans</w:t>
              </w:r>
              <w:proofErr w:type="spellEnd"/>
              <w:r w:rsidR="00116C91" w:rsidRPr="00116C91">
                <w:rPr>
                  <w:rStyle w:val="Hyperlink"/>
                  <w:rFonts w:ascii="Arial" w:hAnsi="Arial"/>
                  <w:noProof w:val="0"/>
                  <w:sz w:val="18"/>
                  <w:szCs w:val="18"/>
                </w:rPr>
                <w:t xml:space="preserve"> 137</w:t>
              </w:r>
            </w:hyperlink>
          </w:p>
        </w:tc>
      </w:tr>
      <w:tr w:rsidR="003E3040" w:rsidRPr="00336026" w14:paraId="4B9DA489" w14:textId="77777777" w:rsidTr="006B1EC3">
        <w:trPr>
          <w:cantSplit/>
          <w:trHeight w:val="400"/>
        </w:trPr>
        <w:tc>
          <w:tcPr>
            <w:tcW w:w="567" w:type="dxa"/>
          </w:tcPr>
          <w:p w14:paraId="383B0B07" w14:textId="77777777" w:rsidR="003E3040" w:rsidRPr="00336026" w:rsidRDefault="003E3040" w:rsidP="003E3040">
            <w:pPr>
              <w:pStyle w:val="ListParagraph"/>
              <w:keepLines/>
              <w:numPr>
                <w:ilvl w:val="0"/>
                <w:numId w:val="49"/>
              </w:numPr>
              <w:spacing w:before="120"/>
              <w:contextualSpacing w:val="0"/>
              <w:jc w:val="right"/>
              <w:rPr>
                <w:rFonts w:ascii="Arial" w:hAnsi="Arial" w:cs="Arial"/>
                <w:color w:val="000000"/>
                <w:sz w:val="18"/>
              </w:rPr>
            </w:pPr>
          </w:p>
        </w:tc>
        <w:tc>
          <w:tcPr>
            <w:tcW w:w="1913" w:type="dxa"/>
          </w:tcPr>
          <w:p w14:paraId="4C22DC77" w14:textId="443CA852" w:rsidR="003E3040" w:rsidRPr="002C69AC" w:rsidRDefault="003E3040" w:rsidP="003E3040">
            <w:pPr>
              <w:spacing w:before="120"/>
              <w:jc w:val="left"/>
              <w:rPr>
                <w:rFonts w:ascii="Arial" w:hAnsi="Arial" w:cs="Arial"/>
                <w:sz w:val="18"/>
                <w:szCs w:val="18"/>
              </w:rPr>
            </w:pPr>
            <w:r w:rsidRPr="003E3040">
              <w:rPr>
                <w:rFonts w:ascii="Arial" w:hAnsi="Arial" w:cs="Arial"/>
                <w:sz w:val="18"/>
                <w:szCs w:val="18"/>
              </w:rPr>
              <w:t>To</w:t>
            </w:r>
          </w:p>
        </w:tc>
        <w:tc>
          <w:tcPr>
            <w:tcW w:w="1914" w:type="dxa"/>
          </w:tcPr>
          <w:p w14:paraId="7070A1A9" w14:textId="6612390A" w:rsidR="003E3040" w:rsidRPr="002C69AC" w:rsidRDefault="003E3040" w:rsidP="003E3040">
            <w:pPr>
              <w:spacing w:before="120"/>
              <w:jc w:val="left"/>
              <w:rPr>
                <w:rFonts w:ascii="Arial" w:hAnsi="Arial" w:cs="Arial"/>
                <w:sz w:val="18"/>
                <w:szCs w:val="18"/>
              </w:rPr>
            </w:pPr>
            <w:r w:rsidRPr="003E3040">
              <w:rPr>
                <w:rFonts w:ascii="Arial" w:hAnsi="Arial" w:cs="Arial"/>
                <w:sz w:val="18"/>
                <w:szCs w:val="18"/>
              </w:rPr>
              <w:t>The Queen</w:t>
            </w:r>
            <w:r w:rsidRPr="003E3040">
              <w:rPr>
                <w:rFonts w:ascii="Arial" w:hAnsi="Arial" w:cs="Arial"/>
                <w:sz w:val="18"/>
                <w:szCs w:val="18"/>
              </w:rPr>
              <w:br/>
              <w:t>(S211/2021)</w:t>
            </w:r>
            <w:r w:rsidRPr="003E3040">
              <w:rPr>
                <w:rFonts w:ascii="Arial" w:hAnsi="Arial" w:cs="Arial"/>
                <w:sz w:val="18"/>
                <w:szCs w:val="18"/>
              </w:rPr>
              <w:br/>
            </w:r>
          </w:p>
        </w:tc>
        <w:tc>
          <w:tcPr>
            <w:tcW w:w="1914" w:type="dxa"/>
          </w:tcPr>
          <w:p w14:paraId="2BF6C7D5" w14:textId="64231A02" w:rsidR="003E3040" w:rsidRPr="002C69AC" w:rsidRDefault="003E3040" w:rsidP="003E3040">
            <w:pPr>
              <w:spacing w:before="120"/>
              <w:jc w:val="left"/>
              <w:rPr>
                <w:rFonts w:ascii="Arial" w:hAnsi="Arial" w:cs="Arial"/>
                <w:sz w:val="18"/>
                <w:szCs w:val="18"/>
              </w:rPr>
            </w:pPr>
            <w:r>
              <w:rPr>
                <w:rFonts w:ascii="Arial" w:hAnsi="Arial" w:cs="Arial"/>
                <w:sz w:val="18"/>
                <w:szCs w:val="18"/>
              </w:rPr>
              <w:t>Supreme Court of New South Wales (Court of Criminal Appeal)</w:t>
            </w:r>
            <w:r>
              <w:rPr>
                <w:rFonts w:ascii="Arial" w:hAnsi="Arial" w:cs="Arial"/>
                <w:sz w:val="18"/>
                <w:szCs w:val="18"/>
              </w:rPr>
              <w:br/>
              <w:t>[2021] NSWCCA 242</w:t>
            </w:r>
            <w:r>
              <w:rPr>
                <w:rFonts w:ascii="Arial" w:hAnsi="Arial" w:cs="Arial"/>
                <w:sz w:val="18"/>
                <w:szCs w:val="18"/>
              </w:rPr>
              <w:br/>
            </w:r>
          </w:p>
        </w:tc>
        <w:tc>
          <w:tcPr>
            <w:tcW w:w="1914" w:type="dxa"/>
          </w:tcPr>
          <w:p w14:paraId="355CFE89" w14:textId="01433491" w:rsidR="003E3040" w:rsidRPr="002C69AC" w:rsidRDefault="003E3040" w:rsidP="003E3040">
            <w:pPr>
              <w:spacing w:before="120"/>
              <w:jc w:val="left"/>
              <w:rPr>
                <w:rFonts w:ascii="Arial" w:hAnsi="Arial" w:cs="Arial"/>
                <w:sz w:val="18"/>
                <w:szCs w:val="18"/>
              </w:rPr>
            </w:pPr>
            <w:r>
              <w:rPr>
                <w:rFonts w:ascii="Arial" w:hAnsi="Arial" w:cs="Arial"/>
                <w:sz w:val="18"/>
                <w:szCs w:val="18"/>
              </w:rPr>
              <w:t>Application dismissed</w:t>
            </w:r>
            <w:r w:rsidR="00116C91">
              <w:rPr>
                <w:rFonts w:ascii="Arial" w:hAnsi="Arial" w:cs="Arial"/>
                <w:sz w:val="18"/>
                <w:szCs w:val="18"/>
              </w:rPr>
              <w:br/>
            </w:r>
            <w:hyperlink r:id="rId140" w:history="1">
              <w:r w:rsidR="00116C91" w:rsidRPr="00116C91">
                <w:rPr>
                  <w:rStyle w:val="Hyperlink"/>
                  <w:rFonts w:ascii="Arial" w:hAnsi="Arial"/>
                  <w:noProof w:val="0"/>
                  <w:sz w:val="18"/>
                  <w:szCs w:val="18"/>
                </w:rPr>
                <w:t xml:space="preserve">[2022] </w:t>
              </w:r>
              <w:proofErr w:type="spellStart"/>
              <w:r w:rsidR="00116C91" w:rsidRPr="00116C91">
                <w:rPr>
                  <w:rStyle w:val="Hyperlink"/>
                  <w:rFonts w:ascii="Arial" w:hAnsi="Arial"/>
                  <w:noProof w:val="0"/>
                  <w:sz w:val="18"/>
                  <w:szCs w:val="18"/>
                </w:rPr>
                <w:t>HCATrans</w:t>
              </w:r>
              <w:proofErr w:type="spellEnd"/>
              <w:r w:rsidR="00116C91" w:rsidRPr="00116C91">
                <w:rPr>
                  <w:rStyle w:val="Hyperlink"/>
                  <w:rFonts w:ascii="Arial" w:hAnsi="Arial"/>
                  <w:noProof w:val="0"/>
                  <w:sz w:val="18"/>
                  <w:szCs w:val="18"/>
                </w:rPr>
                <w:t xml:space="preserve"> 140</w:t>
              </w:r>
            </w:hyperlink>
          </w:p>
        </w:tc>
      </w:tr>
    </w:tbl>
    <w:p w14:paraId="031030C5" w14:textId="77777777" w:rsidR="003E3040" w:rsidRPr="0076188B" w:rsidRDefault="003E3040" w:rsidP="003E3040">
      <w:pPr>
        <w:rPr>
          <w:highlight w:val="yellow"/>
        </w:rPr>
      </w:pPr>
    </w:p>
    <w:p w14:paraId="222601C2" w14:textId="64C8F09D" w:rsidR="003E3040" w:rsidRDefault="003E3040" w:rsidP="003E3040"/>
    <w:sectPr w:rsidR="003E3040" w:rsidSect="00AA78D5">
      <w:headerReference w:type="default" r:id="rId1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CFE6" w14:textId="77777777" w:rsidR="007750CA" w:rsidRDefault="007750CA">
      <w:r>
        <w:separator/>
      </w:r>
    </w:p>
  </w:endnote>
  <w:endnote w:type="continuationSeparator" w:id="0">
    <w:p w14:paraId="42D80979" w14:textId="77777777" w:rsidR="007750CA" w:rsidRDefault="007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E801" w14:textId="77777777" w:rsidR="007750CA" w:rsidRDefault="007750CA">
      <w:r>
        <w:separator/>
      </w:r>
    </w:p>
  </w:footnote>
  <w:footnote w:type="continuationSeparator" w:id="0">
    <w:p w14:paraId="1CFA6631" w14:textId="77777777" w:rsidR="007750CA" w:rsidRDefault="0077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721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A77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2C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6C6D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8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AA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C8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C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0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1E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A2CD3"/>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2" w15:restartNumberingAfterBreak="0">
    <w:nsid w:val="324B218B"/>
    <w:multiLevelType w:val="singleLevel"/>
    <w:tmpl w:val="E68A03FA"/>
    <w:lvl w:ilvl="0">
      <w:start w:val="1"/>
      <w:numFmt w:val="decimal"/>
      <w:lvlText w:val="%1."/>
      <w:lvlJc w:val="left"/>
      <w:pPr>
        <w:ind w:left="720" w:hanging="720"/>
      </w:pPr>
      <w:rPr>
        <w:rFonts w:cs="Times New Roman"/>
      </w:rPr>
    </w:lvl>
  </w:abstractNum>
  <w:abstractNum w:abstractNumId="13"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14" w15:restartNumberingAfterBreak="0">
    <w:nsid w:val="52926E00"/>
    <w:multiLevelType w:val="hybridMultilevel"/>
    <w:tmpl w:val="8766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46845DC"/>
    <w:multiLevelType w:val="singleLevel"/>
    <w:tmpl w:val="081C7FA4"/>
    <w:lvl w:ilvl="0">
      <w:start w:val="1"/>
      <w:numFmt w:val="decimal"/>
      <w:lvlText w:val="%1."/>
      <w:lvlJc w:val="left"/>
      <w:pPr>
        <w:ind w:left="720" w:hanging="720"/>
      </w:pPr>
      <w:rPr>
        <w:rFonts w:cs="Times New Roman"/>
      </w:rPr>
    </w:lvl>
  </w:abstractNum>
  <w:abstractNum w:abstractNumId="1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7" w15:restartNumberingAfterBreak="0">
    <w:nsid w:val="694E2A86"/>
    <w:multiLevelType w:val="singleLevel"/>
    <w:tmpl w:val="E68A03FA"/>
    <w:lvl w:ilvl="0">
      <w:start w:val="1"/>
      <w:numFmt w:val="decimal"/>
      <w:lvlText w:val="%1."/>
      <w:lvlJc w:val="left"/>
      <w:pPr>
        <w:ind w:left="720" w:hanging="720"/>
      </w:pPr>
      <w:rPr>
        <w:rFonts w:cs="Times New Roman"/>
      </w:rPr>
    </w:lvl>
  </w:abstractNum>
  <w:abstractNum w:abstractNumId="18" w15:restartNumberingAfterBreak="0">
    <w:nsid w:val="718669DE"/>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6"/>
  </w:num>
  <w:num w:numId="43">
    <w:abstractNumId w:val="17"/>
  </w:num>
  <w:num w:numId="44">
    <w:abstractNumId w:val="13"/>
  </w:num>
  <w:num w:numId="45">
    <w:abstractNumId w:val="15"/>
  </w:num>
  <w:num w:numId="46">
    <w:abstractNumId w:val="14"/>
  </w:num>
  <w:num w:numId="47">
    <w:abstractNumId w:val="10"/>
  </w:num>
  <w:num w:numId="48">
    <w:abstractNumId w:val="18"/>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6D27"/>
    <w:rsid w:val="000272E7"/>
    <w:rsid w:val="000278E5"/>
    <w:rsid w:val="00027B79"/>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92C"/>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A20"/>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296"/>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AE7"/>
    <w:rsid w:val="00114DF8"/>
    <w:rsid w:val="00115257"/>
    <w:rsid w:val="00116072"/>
    <w:rsid w:val="001160BD"/>
    <w:rsid w:val="00116178"/>
    <w:rsid w:val="0011622A"/>
    <w:rsid w:val="0011641A"/>
    <w:rsid w:val="00116B53"/>
    <w:rsid w:val="00116C91"/>
    <w:rsid w:val="00116DCD"/>
    <w:rsid w:val="00116F4D"/>
    <w:rsid w:val="001170AA"/>
    <w:rsid w:val="0011712E"/>
    <w:rsid w:val="001171E6"/>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2CE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259"/>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29D"/>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3CAC"/>
    <w:rsid w:val="001F41D8"/>
    <w:rsid w:val="001F43F3"/>
    <w:rsid w:val="001F4B54"/>
    <w:rsid w:val="001F5136"/>
    <w:rsid w:val="001F573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2C8"/>
    <w:rsid w:val="002058B7"/>
    <w:rsid w:val="002058CC"/>
    <w:rsid w:val="00205E9A"/>
    <w:rsid w:val="00205ED2"/>
    <w:rsid w:val="00205FC5"/>
    <w:rsid w:val="00206312"/>
    <w:rsid w:val="00206593"/>
    <w:rsid w:val="002069CB"/>
    <w:rsid w:val="002072F1"/>
    <w:rsid w:val="002079CE"/>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2CF"/>
    <w:rsid w:val="00237494"/>
    <w:rsid w:val="0023750E"/>
    <w:rsid w:val="00237FC4"/>
    <w:rsid w:val="00240130"/>
    <w:rsid w:val="002401EC"/>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6DF"/>
    <w:rsid w:val="002538B2"/>
    <w:rsid w:val="00253B61"/>
    <w:rsid w:val="00253D8A"/>
    <w:rsid w:val="00253D96"/>
    <w:rsid w:val="00253DD0"/>
    <w:rsid w:val="0025457B"/>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60"/>
    <w:rsid w:val="002B7F7E"/>
    <w:rsid w:val="002C0154"/>
    <w:rsid w:val="002C041D"/>
    <w:rsid w:val="002C094A"/>
    <w:rsid w:val="002C0C65"/>
    <w:rsid w:val="002C0FF1"/>
    <w:rsid w:val="002C103B"/>
    <w:rsid w:val="002C10A3"/>
    <w:rsid w:val="002C111E"/>
    <w:rsid w:val="002C1186"/>
    <w:rsid w:val="002C1A0C"/>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995"/>
    <w:rsid w:val="002D2492"/>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7F3"/>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4C22"/>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5DAE"/>
    <w:rsid w:val="00386058"/>
    <w:rsid w:val="003861A6"/>
    <w:rsid w:val="003861F3"/>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314"/>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37"/>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040"/>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6E85"/>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D03"/>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CA"/>
    <w:rsid w:val="004445D9"/>
    <w:rsid w:val="00444632"/>
    <w:rsid w:val="00444A2B"/>
    <w:rsid w:val="00444B75"/>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267"/>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8D2"/>
    <w:rsid w:val="00471E61"/>
    <w:rsid w:val="0047223D"/>
    <w:rsid w:val="00472965"/>
    <w:rsid w:val="00472E1C"/>
    <w:rsid w:val="00473117"/>
    <w:rsid w:val="004731EE"/>
    <w:rsid w:val="00473279"/>
    <w:rsid w:val="0047439D"/>
    <w:rsid w:val="0047486C"/>
    <w:rsid w:val="004755C1"/>
    <w:rsid w:val="00475753"/>
    <w:rsid w:val="00475CAC"/>
    <w:rsid w:val="004764B5"/>
    <w:rsid w:val="004764D4"/>
    <w:rsid w:val="00476537"/>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348F"/>
    <w:rsid w:val="004837D3"/>
    <w:rsid w:val="00483AA4"/>
    <w:rsid w:val="00483C0B"/>
    <w:rsid w:val="00483D7E"/>
    <w:rsid w:val="0048400B"/>
    <w:rsid w:val="00484AA9"/>
    <w:rsid w:val="00484F5E"/>
    <w:rsid w:val="0048511F"/>
    <w:rsid w:val="00485328"/>
    <w:rsid w:val="00485660"/>
    <w:rsid w:val="004856BA"/>
    <w:rsid w:val="00485889"/>
    <w:rsid w:val="004859B4"/>
    <w:rsid w:val="00485EAA"/>
    <w:rsid w:val="00485EBD"/>
    <w:rsid w:val="004860F3"/>
    <w:rsid w:val="00486325"/>
    <w:rsid w:val="0048632E"/>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11EC"/>
    <w:rsid w:val="00491F64"/>
    <w:rsid w:val="00492037"/>
    <w:rsid w:val="0049208E"/>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5CD"/>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F5F"/>
    <w:rsid w:val="004D0FCC"/>
    <w:rsid w:val="004D14E8"/>
    <w:rsid w:val="004D2266"/>
    <w:rsid w:val="004D2A3C"/>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1DA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43"/>
    <w:rsid w:val="00534B7B"/>
    <w:rsid w:val="005352BA"/>
    <w:rsid w:val="00535550"/>
    <w:rsid w:val="00535887"/>
    <w:rsid w:val="00535A87"/>
    <w:rsid w:val="00536079"/>
    <w:rsid w:val="00536629"/>
    <w:rsid w:val="005367F0"/>
    <w:rsid w:val="005369D6"/>
    <w:rsid w:val="00537603"/>
    <w:rsid w:val="00537DF1"/>
    <w:rsid w:val="00537F02"/>
    <w:rsid w:val="005409AF"/>
    <w:rsid w:val="00540D75"/>
    <w:rsid w:val="00540E77"/>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EB4"/>
    <w:rsid w:val="0054547C"/>
    <w:rsid w:val="0054599D"/>
    <w:rsid w:val="00545A9C"/>
    <w:rsid w:val="00545B1F"/>
    <w:rsid w:val="005461D4"/>
    <w:rsid w:val="005466AB"/>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58B"/>
    <w:rsid w:val="005808E8"/>
    <w:rsid w:val="00580AC5"/>
    <w:rsid w:val="00580D36"/>
    <w:rsid w:val="00581200"/>
    <w:rsid w:val="0058124D"/>
    <w:rsid w:val="0058135B"/>
    <w:rsid w:val="0058165A"/>
    <w:rsid w:val="00581897"/>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29F0"/>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471"/>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B30"/>
    <w:rsid w:val="005C3C56"/>
    <w:rsid w:val="005C41C4"/>
    <w:rsid w:val="005C4230"/>
    <w:rsid w:val="005C442B"/>
    <w:rsid w:val="005C4734"/>
    <w:rsid w:val="005C4C62"/>
    <w:rsid w:val="005C4DBA"/>
    <w:rsid w:val="005C4EE3"/>
    <w:rsid w:val="005C5685"/>
    <w:rsid w:val="005C57A6"/>
    <w:rsid w:val="005C5A7C"/>
    <w:rsid w:val="005C5ACE"/>
    <w:rsid w:val="005C5ACF"/>
    <w:rsid w:val="005C6229"/>
    <w:rsid w:val="005C67D1"/>
    <w:rsid w:val="005C6BDB"/>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3E92"/>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200"/>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236"/>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A4B"/>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5F5"/>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311"/>
    <w:rsid w:val="0072457C"/>
    <w:rsid w:val="00724946"/>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2711B"/>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447"/>
    <w:rsid w:val="007354F8"/>
    <w:rsid w:val="007355D0"/>
    <w:rsid w:val="00735EDB"/>
    <w:rsid w:val="007360AF"/>
    <w:rsid w:val="007360BD"/>
    <w:rsid w:val="00736175"/>
    <w:rsid w:val="00736D0B"/>
    <w:rsid w:val="00736E67"/>
    <w:rsid w:val="00736FE9"/>
    <w:rsid w:val="00736FEC"/>
    <w:rsid w:val="00737228"/>
    <w:rsid w:val="007409C2"/>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A93"/>
    <w:rsid w:val="0074436C"/>
    <w:rsid w:val="00744391"/>
    <w:rsid w:val="00744623"/>
    <w:rsid w:val="0074463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EF"/>
    <w:rsid w:val="00776775"/>
    <w:rsid w:val="00776AF3"/>
    <w:rsid w:val="00776B63"/>
    <w:rsid w:val="00776DF4"/>
    <w:rsid w:val="00776E4A"/>
    <w:rsid w:val="00776FD3"/>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1176"/>
    <w:rsid w:val="0078136F"/>
    <w:rsid w:val="007815BB"/>
    <w:rsid w:val="0078162D"/>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956"/>
    <w:rsid w:val="007C3CDB"/>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4FBE"/>
    <w:rsid w:val="007E54A9"/>
    <w:rsid w:val="007E5566"/>
    <w:rsid w:val="007E5886"/>
    <w:rsid w:val="007E59CE"/>
    <w:rsid w:val="007E5B8A"/>
    <w:rsid w:val="007E5EF2"/>
    <w:rsid w:val="007E62BE"/>
    <w:rsid w:val="007E6536"/>
    <w:rsid w:val="007E659B"/>
    <w:rsid w:val="007E660A"/>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10"/>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13"/>
    <w:rsid w:val="008D5B83"/>
    <w:rsid w:val="008D5C30"/>
    <w:rsid w:val="008D614F"/>
    <w:rsid w:val="008D62BE"/>
    <w:rsid w:val="008D6665"/>
    <w:rsid w:val="008D686B"/>
    <w:rsid w:val="008D68E1"/>
    <w:rsid w:val="008D6D13"/>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A14"/>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2EA9"/>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D5F"/>
    <w:rsid w:val="00905FAF"/>
    <w:rsid w:val="00906160"/>
    <w:rsid w:val="009066ED"/>
    <w:rsid w:val="00906755"/>
    <w:rsid w:val="00906C67"/>
    <w:rsid w:val="0090700E"/>
    <w:rsid w:val="00907057"/>
    <w:rsid w:val="00907347"/>
    <w:rsid w:val="009073C4"/>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B75"/>
    <w:rsid w:val="00916C29"/>
    <w:rsid w:val="00917050"/>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DDB"/>
    <w:rsid w:val="00925EC7"/>
    <w:rsid w:val="009264B9"/>
    <w:rsid w:val="009266A8"/>
    <w:rsid w:val="00926A84"/>
    <w:rsid w:val="00926B1D"/>
    <w:rsid w:val="00926DF1"/>
    <w:rsid w:val="00926EAD"/>
    <w:rsid w:val="00927258"/>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3"/>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191"/>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1B6"/>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0F5"/>
    <w:rsid w:val="00A441A4"/>
    <w:rsid w:val="00A442BC"/>
    <w:rsid w:val="00A442CD"/>
    <w:rsid w:val="00A4447C"/>
    <w:rsid w:val="00A446B3"/>
    <w:rsid w:val="00A44809"/>
    <w:rsid w:val="00A4499B"/>
    <w:rsid w:val="00A449B9"/>
    <w:rsid w:val="00A45007"/>
    <w:rsid w:val="00A451CA"/>
    <w:rsid w:val="00A4542E"/>
    <w:rsid w:val="00A45610"/>
    <w:rsid w:val="00A4585D"/>
    <w:rsid w:val="00A45A58"/>
    <w:rsid w:val="00A45ABD"/>
    <w:rsid w:val="00A45C1B"/>
    <w:rsid w:val="00A45DF5"/>
    <w:rsid w:val="00A45F59"/>
    <w:rsid w:val="00A462FD"/>
    <w:rsid w:val="00A46B1D"/>
    <w:rsid w:val="00A46B48"/>
    <w:rsid w:val="00A46B9D"/>
    <w:rsid w:val="00A46BC1"/>
    <w:rsid w:val="00A47145"/>
    <w:rsid w:val="00A472C2"/>
    <w:rsid w:val="00A4780A"/>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401"/>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4FB"/>
    <w:rsid w:val="00A679C0"/>
    <w:rsid w:val="00A67A7A"/>
    <w:rsid w:val="00A67C2F"/>
    <w:rsid w:val="00A70194"/>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923"/>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2F6"/>
    <w:rsid w:val="00AB39A2"/>
    <w:rsid w:val="00AB3BAD"/>
    <w:rsid w:val="00AB4009"/>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199"/>
    <w:rsid w:val="00AC2620"/>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19E"/>
    <w:rsid w:val="00AD0221"/>
    <w:rsid w:val="00AD04B9"/>
    <w:rsid w:val="00AD04E0"/>
    <w:rsid w:val="00AD0564"/>
    <w:rsid w:val="00AD0C6B"/>
    <w:rsid w:val="00AD1270"/>
    <w:rsid w:val="00AD138E"/>
    <w:rsid w:val="00AD168D"/>
    <w:rsid w:val="00AD1CA4"/>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62E"/>
    <w:rsid w:val="00AD6683"/>
    <w:rsid w:val="00AD6CBF"/>
    <w:rsid w:val="00AD6E4A"/>
    <w:rsid w:val="00AD6FE5"/>
    <w:rsid w:val="00AD70CE"/>
    <w:rsid w:val="00AD74C8"/>
    <w:rsid w:val="00AD776C"/>
    <w:rsid w:val="00AD77A7"/>
    <w:rsid w:val="00AD77C1"/>
    <w:rsid w:val="00AD7BA3"/>
    <w:rsid w:val="00AD7CBE"/>
    <w:rsid w:val="00AE005B"/>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B51"/>
    <w:rsid w:val="00B164D2"/>
    <w:rsid w:val="00B167B2"/>
    <w:rsid w:val="00B16E1D"/>
    <w:rsid w:val="00B16FD0"/>
    <w:rsid w:val="00B1726D"/>
    <w:rsid w:val="00B17352"/>
    <w:rsid w:val="00B17465"/>
    <w:rsid w:val="00B1756D"/>
    <w:rsid w:val="00B17925"/>
    <w:rsid w:val="00B179F6"/>
    <w:rsid w:val="00B17A1D"/>
    <w:rsid w:val="00B17FC9"/>
    <w:rsid w:val="00B2027D"/>
    <w:rsid w:val="00B20395"/>
    <w:rsid w:val="00B20397"/>
    <w:rsid w:val="00B20476"/>
    <w:rsid w:val="00B20B51"/>
    <w:rsid w:val="00B2100C"/>
    <w:rsid w:val="00B21252"/>
    <w:rsid w:val="00B2161A"/>
    <w:rsid w:val="00B21C37"/>
    <w:rsid w:val="00B21FE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0C80"/>
    <w:rsid w:val="00BA1024"/>
    <w:rsid w:val="00BA10E9"/>
    <w:rsid w:val="00BA117C"/>
    <w:rsid w:val="00BA1368"/>
    <w:rsid w:val="00BA15F2"/>
    <w:rsid w:val="00BA1A87"/>
    <w:rsid w:val="00BA1F02"/>
    <w:rsid w:val="00BA289A"/>
    <w:rsid w:val="00BA33BD"/>
    <w:rsid w:val="00BA3950"/>
    <w:rsid w:val="00BA3960"/>
    <w:rsid w:val="00BA3A6E"/>
    <w:rsid w:val="00BA3C27"/>
    <w:rsid w:val="00BA40F7"/>
    <w:rsid w:val="00BA43B0"/>
    <w:rsid w:val="00BA45FD"/>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9B4"/>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24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7AE"/>
    <w:rsid w:val="00C36E5B"/>
    <w:rsid w:val="00C379E3"/>
    <w:rsid w:val="00C37A41"/>
    <w:rsid w:val="00C37AF0"/>
    <w:rsid w:val="00C4018B"/>
    <w:rsid w:val="00C40681"/>
    <w:rsid w:val="00C40B2D"/>
    <w:rsid w:val="00C41008"/>
    <w:rsid w:val="00C411FA"/>
    <w:rsid w:val="00C4145D"/>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D76"/>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529"/>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A6"/>
    <w:rsid w:val="00C87F0F"/>
    <w:rsid w:val="00C906FA"/>
    <w:rsid w:val="00C90951"/>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2A8"/>
    <w:rsid w:val="00C9644B"/>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DEB"/>
    <w:rsid w:val="00CC3E6E"/>
    <w:rsid w:val="00CC403D"/>
    <w:rsid w:val="00CC4138"/>
    <w:rsid w:val="00CC454A"/>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9F2"/>
    <w:rsid w:val="00CF1C07"/>
    <w:rsid w:val="00CF1D33"/>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E97"/>
    <w:rsid w:val="00D16009"/>
    <w:rsid w:val="00D165D2"/>
    <w:rsid w:val="00D1674D"/>
    <w:rsid w:val="00D16AF0"/>
    <w:rsid w:val="00D16C60"/>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DC"/>
    <w:rsid w:val="00D661F3"/>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DC0"/>
    <w:rsid w:val="00DD3E0E"/>
    <w:rsid w:val="00DD422E"/>
    <w:rsid w:val="00DD44F9"/>
    <w:rsid w:val="00DD4649"/>
    <w:rsid w:val="00DD524A"/>
    <w:rsid w:val="00DD5255"/>
    <w:rsid w:val="00DD5265"/>
    <w:rsid w:val="00DD54CF"/>
    <w:rsid w:val="00DD58E9"/>
    <w:rsid w:val="00DD5ACC"/>
    <w:rsid w:val="00DD5BD3"/>
    <w:rsid w:val="00DD6101"/>
    <w:rsid w:val="00DD6796"/>
    <w:rsid w:val="00DD6FB3"/>
    <w:rsid w:val="00DD6FEA"/>
    <w:rsid w:val="00DD7276"/>
    <w:rsid w:val="00DD73DB"/>
    <w:rsid w:val="00DD788D"/>
    <w:rsid w:val="00DD7DD0"/>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641"/>
    <w:rsid w:val="00DF0800"/>
    <w:rsid w:val="00DF1014"/>
    <w:rsid w:val="00DF10EE"/>
    <w:rsid w:val="00DF16B3"/>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7E4"/>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2D"/>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030"/>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60E"/>
    <w:rsid w:val="00E71766"/>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6DCC"/>
    <w:rsid w:val="00EF7134"/>
    <w:rsid w:val="00EF72A4"/>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0FF5"/>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9EB"/>
    <w:rsid w:val="00F57A56"/>
    <w:rsid w:val="00F57A9E"/>
    <w:rsid w:val="00F57C10"/>
    <w:rsid w:val="00F60376"/>
    <w:rsid w:val="00F6040C"/>
    <w:rsid w:val="00F60653"/>
    <w:rsid w:val="00F60843"/>
    <w:rsid w:val="00F609C2"/>
    <w:rsid w:val="00F60D79"/>
    <w:rsid w:val="00F61067"/>
    <w:rsid w:val="00F612C1"/>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2FF"/>
    <w:rsid w:val="00F83318"/>
    <w:rsid w:val="00F83397"/>
    <w:rsid w:val="00F8343D"/>
    <w:rsid w:val="00F836C3"/>
    <w:rsid w:val="00F83924"/>
    <w:rsid w:val="00F83A5D"/>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50B"/>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5B"/>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101"/>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F6B"/>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lii.edu.au/cgi-bin/viewdoc/au/cases/cth/HCATrans/2022/52.html" TargetMode="External"/><Relationship Id="rId21" Type="http://schemas.openxmlformats.org/officeDocument/2006/relationships/hyperlink" Target="https://eresources.hcourt.gov.au/downloadPdf/2022/HCA/25" TargetMode="External"/><Relationship Id="rId42" Type="http://schemas.openxmlformats.org/officeDocument/2006/relationships/hyperlink" Target="https://www.hcourt.gov.au/cases/case_p9-2022" TargetMode="External"/><Relationship Id="rId63" Type="http://schemas.openxmlformats.org/officeDocument/2006/relationships/hyperlink" Target="http://www.austlii.edu.au/cgi-bin/viewdoc/au/cases/cth/HCATrans/2022/91.html" TargetMode="External"/><Relationship Id="rId84" Type="http://schemas.openxmlformats.org/officeDocument/2006/relationships/hyperlink" Target="https://www.hcourt.gov.au/cases/case_b19-2022" TargetMode="External"/><Relationship Id="rId138" Type="http://schemas.openxmlformats.org/officeDocument/2006/relationships/hyperlink" Target="http://www.austlii.edu.au/cgi-bin/viewdoc/au/cases/cth/HCATrans/2022/138.html" TargetMode="External"/><Relationship Id="rId107" Type="http://schemas.openxmlformats.org/officeDocument/2006/relationships/hyperlink" Target="http://www.hcourt.gov.au/cases/case_s262-2019" TargetMode="External"/><Relationship Id="rId11" Type="http://schemas.openxmlformats.org/officeDocument/2006/relationships/hyperlink" Target="https://www.hcourt.gov.au/cases/case_m73-2021" TargetMode="External"/><Relationship Id="rId32" Type="http://schemas.openxmlformats.org/officeDocument/2006/relationships/hyperlink" Target="http://www.austlii.edu.au/cgi-bin/viewdoc/au/cases/cth/HCATrans/2022/27.html" TargetMode="External"/><Relationship Id="rId37" Type="http://schemas.openxmlformats.org/officeDocument/2006/relationships/hyperlink" Target="http://www.austlii.edu.au/cgi-bin/viewdoc/au/cases/cth/HCATrans/2022/102.html" TargetMode="External"/><Relationship Id="rId53" Type="http://schemas.openxmlformats.org/officeDocument/2006/relationships/hyperlink" Target="https://www.hcourt.gov.au/cases/case_m12-2022" TargetMode="External"/><Relationship Id="rId58" Type="http://schemas.openxmlformats.org/officeDocument/2006/relationships/header" Target="header4.xml"/><Relationship Id="rId74" Type="http://schemas.openxmlformats.org/officeDocument/2006/relationships/hyperlink" Target="https://www.caselaw.nsw.gov.au/decision/17dc54edaed9db7e447185cf" TargetMode="External"/><Relationship Id="rId79" Type="http://schemas.openxmlformats.org/officeDocument/2006/relationships/hyperlink" Target="https://www.hcourt.gov.au/cases/case_a10-2022" TargetMode="External"/><Relationship Id="rId102" Type="http://schemas.openxmlformats.org/officeDocument/2006/relationships/hyperlink" Target="https://www.judgments.fedcourt.gov.au/judgments/Judgments/fca/full/2021/2021fcafc0180" TargetMode="External"/><Relationship Id="rId123" Type="http://schemas.openxmlformats.org/officeDocument/2006/relationships/hyperlink" Target="http://www.austlii.edu.au/cgi-bin/viewdoc/au/cases/cth/HCASL/2022/124.html" TargetMode="External"/><Relationship Id="rId128" Type="http://schemas.openxmlformats.org/officeDocument/2006/relationships/hyperlink" Target="http://www.austlii.edu.au/cgi-bin/viewdoc/au/cases/cth/HCATrans/2022/132.html" TargetMode="External"/><Relationship Id="rId5" Type="http://schemas.openxmlformats.org/officeDocument/2006/relationships/webSettings" Target="webSettings.xml"/><Relationship Id="rId90" Type="http://schemas.openxmlformats.org/officeDocument/2006/relationships/hyperlink" Target="https://www.judgments.fedcourt.gov.au/judgments/Judgments/fca/full/2021/2021fcafc0166" TargetMode="External"/><Relationship Id="rId95" Type="http://schemas.openxmlformats.org/officeDocument/2006/relationships/hyperlink" Target="https://www.caselaw.nsw.gov.au/decision/17b385fc9db7e1d08fc9be96" TargetMode="External"/><Relationship Id="rId22" Type="http://schemas.openxmlformats.org/officeDocument/2006/relationships/hyperlink" Target="http://www.austlii.edu.au/cgi-bin/viewdoc/au/cases/sa/SASCFC/2020/103.html" TargetMode="External"/><Relationship Id="rId27" Type="http://schemas.openxmlformats.org/officeDocument/2006/relationships/hyperlink" Target="https://www.hcourt.gov.au/cases/case_s40-2022" TargetMode="External"/><Relationship Id="rId43" Type="http://schemas.openxmlformats.org/officeDocument/2006/relationships/hyperlink" Target="http://www.austlii.edu.au/cgi-bin/viewdoc/au/cases/cth/HCATrans/2022/133.html" TargetMode="External"/><Relationship Id="rId48" Type="http://schemas.openxmlformats.org/officeDocument/2006/relationships/hyperlink" Target="https://www.caselaw.nsw.gov.au/decision/17524731ae09ba30525132aa" TargetMode="External"/><Relationship Id="rId64" Type="http://schemas.openxmlformats.org/officeDocument/2006/relationships/hyperlink" Target="https://www.caselaw.nsw.gov.au/decision/17d92654258325848bfb5c87" TargetMode="External"/><Relationship Id="rId69" Type="http://schemas.openxmlformats.org/officeDocument/2006/relationships/hyperlink" Target="https://www.hcourt.gov.au/cases/cases_c13-2022" TargetMode="External"/><Relationship Id="rId113" Type="http://schemas.openxmlformats.org/officeDocument/2006/relationships/header" Target="header6.xml"/><Relationship Id="rId118" Type="http://schemas.openxmlformats.org/officeDocument/2006/relationships/header" Target="header7.xml"/><Relationship Id="rId134" Type="http://schemas.openxmlformats.org/officeDocument/2006/relationships/hyperlink" Target="http://www.austlii.edu.au/cgi-bin/viewdoc/au/cases/cth/HCASL/2022/130.html" TargetMode="External"/><Relationship Id="rId139" Type="http://schemas.openxmlformats.org/officeDocument/2006/relationships/hyperlink" Target="http://www.austlii.edu.au/cgi-bin/viewdoc/au/cases/cth/HCATrans/2022/137.html" TargetMode="External"/><Relationship Id="rId80" Type="http://schemas.openxmlformats.org/officeDocument/2006/relationships/hyperlink" Target="http://www.hcourt.gov.au/cases/case_s262-2019" TargetMode="External"/><Relationship Id="rId85" Type="http://schemas.openxmlformats.org/officeDocument/2006/relationships/hyperlink" Target="http://www.austlii.edu.au/cgi-bin/viewdoc/au/cases/cth/HCATrans/2022/88.html" TargetMode="External"/><Relationship Id="rId12" Type="http://schemas.openxmlformats.org/officeDocument/2006/relationships/hyperlink" Target="https://eresources.hcourt.gov.au/downloadPdf/2022/HCA/26" TargetMode="External"/><Relationship Id="rId17" Type="http://schemas.openxmlformats.org/officeDocument/2006/relationships/hyperlink" Target="https://www.hcourt.gov.au/cases/case_p53-2021" TargetMode="External"/><Relationship Id="rId33" Type="http://schemas.openxmlformats.org/officeDocument/2006/relationships/hyperlink" Target="http://www.austlii.edu.au/cgi-bin/viewdoc/au/cases/cth/HCATrans/2022/28.html" TargetMode="External"/><Relationship Id="rId38" Type="http://schemas.openxmlformats.org/officeDocument/2006/relationships/hyperlink" Target="https://www.judgments.fedcourt.gov.au/judgments/Judgments/fca/full/2021/2021fcafc0051" TargetMode="External"/><Relationship Id="rId59" Type="http://schemas.openxmlformats.org/officeDocument/2006/relationships/header" Target="header5.xml"/><Relationship Id="rId103" Type="http://schemas.openxmlformats.org/officeDocument/2006/relationships/hyperlink" Target="https://www.hcourt.gov.au/cases/case_s43-2022" TargetMode="External"/><Relationship Id="rId108" Type="http://schemas.openxmlformats.org/officeDocument/2006/relationships/hyperlink" Target="http://www.austlii.edu.au/cgi-bin/viewdoc/au/cases/cth/HCATrans/2022/70.html" TargetMode="External"/><Relationship Id="rId124" Type="http://schemas.openxmlformats.org/officeDocument/2006/relationships/hyperlink" Target="http://www.austlii.edu.au/cgi-bin/viewdoc/au/cases/cth/HCATrans/2022/128.html" TargetMode="External"/><Relationship Id="rId129" Type="http://schemas.openxmlformats.org/officeDocument/2006/relationships/hyperlink" Target="http://www.austlii.edu.au/cgi-bin/viewdoc/au/cases/cth/HCASL/2022/125.html" TargetMode="External"/><Relationship Id="rId54" Type="http://schemas.openxmlformats.org/officeDocument/2006/relationships/hyperlink" Target="http://www.austlii.edu.au/cgi-bin/viewdoc/au/cases/cth/HCATrans/2022/124.html" TargetMode="External"/><Relationship Id="rId70" Type="http://schemas.openxmlformats.org/officeDocument/2006/relationships/hyperlink" Target="http://www.austlii.edu.au/cgi-bin/viewdoc/au/cases/cth/HCATrans/2022/113.html" TargetMode="External"/><Relationship Id="rId75" Type="http://schemas.openxmlformats.org/officeDocument/2006/relationships/hyperlink" Target="https://www.hcourt.gov.au/cases/case_s57-2022" TargetMode="External"/><Relationship Id="rId91" Type="http://schemas.openxmlformats.org/officeDocument/2006/relationships/hyperlink" Target="https://www.hcourt.gov.au/cases/case_m44-2022" TargetMode="External"/><Relationship Id="rId96" Type="http://schemas.openxmlformats.org/officeDocument/2006/relationships/hyperlink" Target="https://www.hcourt.gov.au/cases/case_a14-2022" TargetMode="External"/><Relationship Id="rId140" Type="http://schemas.openxmlformats.org/officeDocument/2006/relationships/hyperlink" Target="http://www.austlii.edu.au/cgi-bin/viewdoc/au/cases/cth/HCATrans/2022/140.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court.gov.au/cases/case_m86-2021" TargetMode="External"/><Relationship Id="rId28" Type="http://schemas.openxmlformats.org/officeDocument/2006/relationships/hyperlink" Target="https://eresources.hcourt.gov.au/downloadPdf/2022/HCA/29" TargetMode="External"/><Relationship Id="rId49" Type="http://schemas.openxmlformats.org/officeDocument/2006/relationships/hyperlink" Target="https://www.hcourt.gov.au/cases/case_s42-2022" TargetMode="External"/><Relationship Id="rId114" Type="http://schemas.openxmlformats.org/officeDocument/2006/relationships/hyperlink" Target="https://www.hcourt.gov.au/cases/case_s192-2021" TargetMode="External"/><Relationship Id="rId119" Type="http://schemas.openxmlformats.org/officeDocument/2006/relationships/hyperlink" Target="http://www.austlii.edu.au/cgi-bin/viewdoc/au/cases/cth/HCASL/2022/121.html" TargetMode="External"/><Relationship Id="rId44" Type="http://schemas.openxmlformats.org/officeDocument/2006/relationships/hyperlink" Target="file:///\\hca.local\shares\groups\LRO%20Research\2022%20-%20RLucas\High%20Court%20Bulletins\judgments.fedcourt.gov.au\judgments\Judgments\fca\full\2021\2021fcafc0158" TargetMode="External"/><Relationship Id="rId60" Type="http://schemas.openxmlformats.org/officeDocument/2006/relationships/hyperlink" Target="http://www.austlii.edu.au/cgi-bin/viewdoc/au/cases/cth/HCATrans/2022/139.html" TargetMode="External"/><Relationship Id="rId65" Type="http://schemas.openxmlformats.org/officeDocument/2006/relationships/hyperlink" Target="https://www.hcourt.gov.au/cases/case_m32-2022" TargetMode="External"/><Relationship Id="rId81" Type="http://schemas.openxmlformats.org/officeDocument/2006/relationships/hyperlink" Target="http://www.austlii.edu.au/cgi-bin/viewdoc/au/cases/cth/HCATrans/2022/42.html" TargetMode="External"/><Relationship Id="rId86" Type="http://schemas.openxmlformats.org/officeDocument/2006/relationships/hyperlink" Target="https://www.judgments.fedcourt.gov.au/judgments/Judgments/fca/full/2021/2021fcafc0228" TargetMode="External"/><Relationship Id="rId130" Type="http://schemas.openxmlformats.org/officeDocument/2006/relationships/hyperlink" Target="http://www.austlii.edu.au/cgi-bin/viewdoc/au/cases/cth/HCASL/2022/126.html" TargetMode="External"/><Relationship Id="rId135" Type="http://schemas.openxmlformats.org/officeDocument/2006/relationships/hyperlink" Target="http://www.austlii.edu.au/cgi-bin/viewdoc/au/cases/cth/HCASL/2022/131.html" TargetMode="External"/><Relationship Id="rId13" Type="http://schemas.openxmlformats.org/officeDocument/2006/relationships/hyperlink" Target="https://www.judgments.fedcourt.gov.au/judgments/Judgments/fca/full/2020/2020fcafc0172" TargetMode="External"/><Relationship Id="rId18" Type="http://schemas.openxmlformats.org/officeDocument/2006/relationships/hyperlink" Target="https://ecourts.justice.wa.gov.au/eCourtsPortal/Decisions/ViewDecision?returnUrl=%2feCourtsPortal%2fDecisions%2fFilter%2fSC%2fCitationNumber&amp;id=2298d3e1-cad9-4655-a825-6c07d387e236" TargetMode="External"/><Relationship Id="rId39" Type="http://schemas.openxmlformats.org/officeDocument/2006/relationships/hyperlink" Target="https://www.hcourt.gov.au/cases/case_s53-2022" TargetMode="External"/><Relationship Id="rId109" Type="http://schemas.openxmlformats.org/officeDocument/2006/relationships/hyperlink" Target="https://www.caselaw.nsw.gov.au/decision/17bb905e8a9250330f5ae250" TargetMode="External"/><Relationship Id="rId34" Type="http://schemas.openxmlformats.org/officeDocument/2006/relationships/hyperlink" Target="https://www.hcourt.gov.au/cases/case_s27-2022" TargetMode="External"/><Relationship Id="rId50" Type="http://schemas.openxmlformats.org/officeDocument/2006/relationships/hyperlink" Target="http://www.austlii.edu.au/cgi-bin/viewdoc/au/cases/cth/HCATrans/2022/126.html" TargetMode="External"/><Relationship Id="rId55" Type="http://schemas.openxmlformats.org/officeDocument/2006/relationships/hyperlink" Target="https://www.judgments.fedcourt.gov.au/judgments/Judgments/fca/full/2021/2021fcafc0093" TargetMode="External"/><Relationship Id="rId76" Type="http://schemas.openxmlformats.org/officeDocument/2006/relationships/hyperlink" Target="http://www.hcourt.gov.au/cases/case_s262-2019" TargetMode="External"/><Relationship Id="rId97" Type="http://schemas.openxmlformats.org/officeDocument/2006/relationships/hyperlink" Target="http://www.austlii.edu.au/cgi-bin/viewdoc/au/cases/cth/HCATrans/2022/112.html" TargetMode="External"/><Relationship Id="rId104" Type="http://schemas.openxmlformats.org/officeDocument/2006/relationships/hyperlink" Target="http://www.austlii.edu.au/cgi-bin/viewdoc/au/cases/cth/HCATrans/2022/39.html" TargetMode="External"/><Relationship Id="rId120" Type="http://schemas.openxmlformats.org/officeDocument/2006/relationships/hyperlink" Target="http://www.austlii.edu.au/cgi-bin/viewdoc/au/cases/cth/HCASL/2022/122.html" TargetMode="External"/><Relationship Id="rId125" Type="http://schemas.openxmlformats.org/officeDocument/2006/relationships/hyperlink" Target="%5b2022%5d%20HCATrans%20129" TargetMode="External"/><Relationship Id="rId141"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courts.act.gov.au/supreme/judgments/vunilagi-v-the-queen" TargetMode="External"/><Relationship Id="rId92" Type="http://schemas.openxmlformats.org/officeDocument/2006/relationships/hyperlink" Target="http://www.austlii.edu.au/cgi-bin/viewdoc/au/cases/cth/HCATrans/2022/115.html" TargetMode="External"/><Relationship Id="rId2" Type="http://schemas.openxmlformats.org/officeDocument/2006/relationships/numbering" Target="numbering.xml"/><Relationship Id="rId29" Type="http://schemas.openxmlformats.org/officeDocument/2006/relationships/hyperlink" Target="https://www.judgments.fedcourt.gov.au/judgments/Judgments/fca/full/2021/2021fcafc0202" TargetMode="External"/><Relationship Id="rId24" Type="http://schemas.openxmlformats.org/officeDocument/2006/relationships/hyperlink" Target="https://eresources.hcourt.gov.au/downloadPdf/2022/HCA/27" TargetMode="External"/><Relationship Id="rId40" Type="http://schemas.openxmlformats.org/officeDocument/2006/relationships/hyperlink" Target="http://www.austlii.edu.au/cgi-bin/viewdoc/au/cases/cth/HCATrans/2022/108.html" TargetMode="External"/><Relationship Id="rId45" Type="http://schemas.openxmlformats.org/officeDocument/2006/relationships/hyperlink" Target="https://www.judgments.fedcourt.gov.au/judgments/Judgments/fca/full/2022/2022fcafc0005" TargetMode="External"/><Relationship Id="rId66" Type="http://schemas.openxmlformats.org/officeDocument/2006/relationships/hyperlink" Target="http://www.austlii.edu.au/cgi-bin/viewdoc/au/cases/cth/HCATrans/2022/89.html" TargetMode="External"/><Relationship Id="rId87" Type="http://schemas.openxmlformats.org/officeDocument/2006/relationships/hyperlink" Target="https://www.judgments.fedcourt.gov.au/judgments/Judgments/fca/full/2022/2022fcafc0001" TargetMode="External"/><Relationship Id="rId110" Type="http://schemas.openxmlformats.org/officeDocument/2006/relationships/hyperlink" Target="https://www.hcourt.gov.au/cases/case_p5-2022" TargetMode="External"/><Relationship Id="rId115" Type="http://schemas.openxmlformats.org/officeDocument/2006/relationships/hyperlink" Target="http://www.hcourt.gov.au/cases/case_s262-2019" TargetMode="External"/><Relationship Id="rId131" Type="http://schemas.openxmlformats.org/officeDocument/2006/relationships/hyperlink" Target="http://www.austlii.edu.au/cgi-bin/viewdoc/au/cases/cth/HCASL/2022/127.html" TargetMode="External"/><Relationship Id="rId136" Type="http://schemas.openxmlformats.org/officeDocument/2006/relationships/hyperlink" Target="http://www.austlii.edu.au/cgi-bin/viewdoc/au/cases/cth/HCASL/2022/132.html" TargetMode="External"/><Relationship Id="rId61" Type="http://schemas.openxmlformats.org/officeDocument/2006/relationships/hyperlink" Target="https://www.caselaw.nsw.gov.au/decision/17dd5883966ce45b9f2138b5" TargetMode="External"/><Relationship Id="rId82" Type="http://schemas.openxmlformats.org/officeDocument/2006/relationships/hyperlink" Target="https://www.judgments.fedcourt.gov.au/judgments/Judgments/fca/full/2021/2021fcafc0064" TargetMode="External"/><Relationship Id="rId19" Type="http://schemas.openxmlformats.org/officeDocument/2006/relationships/hyperlink" Target="https://www.hcourt.gov.au/cases/case_a4-2022" TargetMode="External"/><Relationship Id="rId14" Type="http://schemas.openxmlformats.org/officeDocument/2006/relationships/hyperlink" Target="https://www.hcourt.gov.au/cases/case_s83-2021" TargetMode="External"/><Relationship Id="rId30" Type="http://schemas.openxmlformats.org/officeDocument/2006/relationships/header" Target="header2.xml"/><Relationship Id="rId35" Type="http://schemas.openxmlformats.org/officeDocument/2006/relationships/hyperlink" Target="http://www.hcourt.gov.au/cases/case_s262-2019" TargetMode="External"/><Relationship Id="rId56" Type="http://schemas.openxmlformats.org/officeDocument/2006/relationships/header" Target="header3.xml"/><Relationship Id="rId77" Type="http://schemas.openxmlformats.org/officeDocument/2006/relationships/hyperlink" Target="http://www.austlii.edu.au/cgi-bin/viewdoc/au/cases/cth/HCATrans/2022/64.html" TargetMode="External"/><Relationship Id="rId100" Type="http://schemas.openxmlformats.org/officeDocument/2006/relationships/hyperlink" Target="http://www.austlii.edu.au/cgi-bin/viewdoc/au/cases/cth/HCATrans/2022/94.html" TargetMode="External"/><Relationship Id="rId105" Type="http://schemas.openxmlformats.org/officeDocument/2006/relationships/hyperlink" Target="https://www.judgments.fedcourt.gov.au/judgments/Judgments/fca/full/2021/2021fcafc0112" TargetMode="External"/><Relationship Id="rId126" Type="http://schemas.openxmlformats.org/officeDocument/2006/relationships/hyperlink" Target="http://www.austlii.edu.au/cgi-bin/viewdoc/au/cases/cth/HCATrans/2022/131.html" TargetMode="External"/><Relationship Id="rId8" Type="http://schemas.openxmlformats.org/officeDocument/2006/relationships/image" Target="media/image1.png"/><Relationship Id="rId51" Type="http://schemas.openxmlformats.org/officeDocument/2006/relationships/hyperlink" Target="http://www.austlii.edu.au/cgi-bin/viewdoc/au/cases/cth/HCATrans/2022/127.html" TargetMode="External"/><Relationship Id="rId72" Type="http://schemas.openxmlformats.org/officeDocument/2006/relationships/hyperlink" Target="http://www.hcourt.gov.au/cases/case_s262-2019" TargetMode="External"/><Relationship Id="rId93" Type="http://schemas.openxmlformats.org/officeDocument/2006/relationships/hyperlink" Target="https://aucc.sirsidynix.net.au/Judgments/VSCA/2021/A0285.pdf" TargetMode="External"/><Relationship Id="rId98" Type="http://schemas.openxmlformats.org/officeDocument/2006/relationships/hyperlink" Target="http://www8.austlii.edu.au/cgi-bin/viewdoc/au/cases/sa/SASCA/2021/74.html" TargetMode="External"/><Relationship Id="rId121" Type="http://schemas.openxmlformats.org/officeDocument/2006/relationships/hyperlink" Target="http://www.austlii.edu.au/cgi-bin/viewdoc/au/cases/cth/HCASL/2022/123.htm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hcourt.gov.au/cases/case_s135-2021" TargetMode="External"/><Relationship Id="rId46" Type="http://schemas.openxmlformats.org/officeDocument/2006/relationships/hyperlink" Target="https://www.hcourt.gov.au/cases/case_s61-2022" TargetMode="External"/><Relationship Id="rId67" Type="http://schemas.openxmlformats.org/officeDocument/2006/relationships/hyperlink" Target="http://www.austlii.edu.au/cgi-bin/viewdoc/au/cases/cth/HCATrans/2022/90.html" TargetMode="External"/><Relationship Id="rId116" Type="http://schemas.openxmlformats.org/officeDocument/2006/relationships/hyperlink" Target="http://www.austlii.edu.au/cgi-bin/viewdoc/au/cases/cth/HCATrans/2022/51.html" TargetMode="External"/><Relationship Id="rId137" Type="http://schemas.openxmlformats.org/officeDocument/2006/relationships/hyperlink" Target="http://www.austlii.edu.au/cgi-bin/viewdoc/au/cases/cth/HCASL/2022/133.html" TargetMode="External"/><Relationship Id="rId20" Type="http://schemas.openxmlformats.org/officeDocument/2006/relationships/hyperlink" Target="http://www.hcourt.gov.au/cases/case_s262-2019" TargetMode="External"/><Relationship Id="rId41" Type="http://schemas.openxmlformats.org/officeDocument/2006/relationships/hyperlink" Target="https://www.caselaw.nsw.gov.au/decision/17a7995fb9f63c66884aa4ea" TargetMode="External"/><Relationship Id="rId62" Type="http://schemas.openxmlformats.org/officeDocument/2006/relationships/hyperlink" Target="https://www.hcourt.gov.au/cases/case_s78-2022" TargetMode="External"/><Relationship Id="rId83" Type="http://schemas.openxmlformats.org/officeDocument/2006/relationships/hyperlink" Target="https://www.judgments.fedcourt.gov.au/judgments/Judgments/fca/full/2021/2021fcafc0111" TargetMode="External"/><Relationship Id="rId88" Type="http://schemas.openxmlformats.org/officeDocument/2006/relationships/hyperlink" Target="http://www.hcourt.gov.au/cases/case_s262-2019" TargetMode="External"/><Relationship Id="rId111" Type="http://schemas.openxmlformats.org/officeDocument/2006/relationships/hyperlink" Target="http://www.austlii.edu.au/cgi-bin/viewdoc/au/cases/cth/HCATrans/2022/37.html" TargetMode="External"/><Relationship Id="rId132" Type="http://schemas.openxmlformats.org/officeDocument/2006/relationships/hyperlink" Target="http://www.austlii.edu.au/cgi-bin/viewdoc/au/cases/cth/HCASL/2022/128.html" TargetMode="External"/><Relationship Id="rId15" Type="http://schemas.openxmlformats.org/officeDocument/2006/relationships/hyperlink" Target="http://www.hcourt.gov.au/cases/case_s262-2019" TargetMode="External"/><Relationship Id="rId36" Type="http://schemas.openxmlformats.org/officeDocument/2006/relationships/hyperlink" Target="http://www.austlii.edu.au/cgi-bin/viewdoc/au/cases/cth/HCATrans/2022/100.html" TargetMode="External"/><Relationship Id="rId57" Type="http://schemas.openxmlformats.org/officeDocument/2006/relationships/hyperlink" Target="https://www.hcourt.gov.au/cases/case_m61-2022" TargetMode="External"/><Relationship Id="rId106" Type="http://schemas.openxmlformats.org/officeDocument/2006/relationships/hyperlink" Target="https://www.hcourt.gov.au/cases/case_s60-2022" TargetMode="External"/><Relationship Id="rId127" Type="http://schemas.openxmlformats.org/officeDocument/2006/relationships/hyperlink" Target="http://www.austlii.edu.au/cgi-bin/viewdoc/au/cases/cth/HCATrans/2022/132.html" TargetMode="External"/><Relationship Id="rId10" Type="http://schemas.openxmlformats.org/officeDocument/2006/relationships/footer" Target="footer1.xml"/><Relationship Id="rId31" Type="http://schemas.openxmlformats.org/officeDocument/2006/relationships/hyperlink" Target="https://www.hcourt.gov.au/cases/case_p56-2021" TargetMode="External"/><Relationship Id="rId52" Type="http://schemas.openxmlformats.org/officeDocument/2006/relationships/hyperlink" Target="https://www.judgments.fedcourt.gov.au/judgments/Judgments/fca/full/2021/2021fcafc0121" TargetMode="External"/><Relationship Id="rId73" Type="http://schemas.openxmlformats.org/officeDocument/2006/relationships/hyperlink" Target="http://www.austlii.edu.au/cgi-bin/viewdoc/au/cases/cth/HCATrans/2022/136.html" TargetMode="External"/><Relationship Id="rId78" Type="http://schemas.openxmlformats.org/officeDocument/2006/relationships/hyperlink" Target="https://www.judgments.fedcourt.gov.au/judgments/Judgments/fca/full/2021/2021fcafc0148" TargetMode="External"/><Relationship Id="rId94" Type="http://schemas.openxmlformats.org/officeDocument/2006/relationships/hyperlink" Target="http://www.austlii.edu.au/cgi-bin/viewdoc/au/cases/cth/HCATrans/2022/111.html" TargetMode="External"/><Relationship Id="rId99" Type="http://schemas.openxmlformats.org/officeDocument/2006/relationships/hyperlink" Target="https://www.hcourt.gov.au/cases/case_s79-2022" TargetMode="External"/><Relationship Id="rId101" Type="http://schemas.openxmlformats.org/officeDocument/2006/relationships/hyperlink" Target="https://www.judgments.fedcourt.gov.au/judgments/Judgments/fca/full/2021/2021fcafc0163" TargetMode="External"/><Relationship Id="rId122" Type="http://schemas.openxmlformats.org/officeDocument/2006/relationships/hyperlink" Target="http://www.austlii.edu.au/cgi-bin/viewdoc/au/cases/cth/HCASL/2022/123.ht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eresources.hcourt.gov.au/downloadPdf/2022/HCA/28" TargetMode="External"/><Relationship Id="rId47" Type="http://schemas.openxmlformats.org/officeDocument/2006/relationships/hyperlink" Target="http://www.austlii.edu.au/cgi-bin/viewdoc/au/cases/cth/HCATrans/2022/134.html" TargetMode="External"/><Relationship Id="rId68" Type="http://schemas.openxmlformats.org/officeDocument/2006/relationships/hyperlink" Target="https://www.judgments.fedcourt.gov.au/judgments/Judgments/fca/full/2021/2021fcafc0213" TargetMode="External"/><Relationship Id="rId89" Type="http://schemas.openxmlformats.org/officeDocument/2006/relationships/hyperlink" Target="http://www.austlii.edu.au/cgi-bin/viewdoc/au/cases/cth/HCATrans/2022/130.html" TargetMode="External"/><Relationship Id="rId112" Type="http://schemas.openxmlformats.org/officeDocument/2006/relationships/hyperlink" Target="https://ecourts.justice.wa.gov.au/eCourtsPortal/Decisions/DownloadDecision?id=8388134b-a519-4298-9365-5d0c671dc75a" TargetMode="External"/><Relationship Id="rId133" Type="http://schemas.openxmlformats.org/officeDocument/2006/relationships/hyperlink" Target="http://www.austlii.edu.au/cgi-bin/viewdoc/au/cases/cth/HCASL/2022/129.html" TargetMode="External"/><Relationship Id="rId16" Type="http://schemas.openxmlformats.org/officeDocument/2006/relationships/hyperlink" Target="https://eresources.hcourt.gov.au/downloadPdf/2022/HCA/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8582</Words>
  <Characters>62091</Characters>
  <Application>Microsoft Office Word</Application>
  <DocSecurity>0</DocSecurity>
  <Lines>2299</Lines>
  <Paragraphs>721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2022-08-22T23:25:00Z</dcterms:created>
  <dcterms:modified xsi:type="dcterms:W3CDTF">2022-08-26T01:58:00Z</dcterms:modified>
</cp:coreProperties>
</file>