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789DD9D5" w:rsidR="00F03117" w:rsidRPr="00007C4E" w:rsidRDefault="00434F82" w:rsidP="00007C4E">
            <w:pPr>
              <w:tabs>
                <w:tab w:val="left" w:pos="851"/>
                <w:tab w:val="right" w:pos="8505"/>
              </w:tabs>
              <w:jc w:val="both"/>
              <w:rPr>
                <w:u w:val="single"/>
              </w:rPr>
            </w:pPr>
            <w:r>
              <w:rPr>
                <w:u w:val="single"/>
              </w:rPr>
              <w:t>Tuesday, 10 October 2023 and Wednesday, 11 October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6026A8BD" w14:textId="1B12D968" w:rsidR="00F03117" w:rsidRDefault="00434F82" w:rsidP="00913869">
            <w:pPr>
              <w:numPr>
                <w:ilvl w:val="0"/>
                <w:numId w:val="9"/>
              </w:numPr>
              <w:ind w:hanging="720"/>
            </w:pPr>
            <w:r>
              <w:t xml:space="preserve">Potts &amp; </w:t>
            </w:r>
            <w:proofErr w:type="gramStart"/>
            <w:r>
              <w:t xml:space="preserve">Anor </w:t>
            </w:r>
            <w:r w:rsidR="00F03117" w:rsidRPr="00007C4E">
              <w:t xml:space="preserve"> v</w:t>
            </w:r>
            <w:proofErr w:type="gramEnd"/>
            <w:r w:rsidR="00F03117" w:rsidRPr="00007C4E">
              <w:t xml:space="preserve">  </w:t>
            </w:r>
            <w:r>
              <w:t xml:space="preserve">DSHE Holdings Ltd ACN 166 237 841 </w:t>
            </w:r>
            <w:r w:rsidR="00DC4C66">
              <w:br/>
            </w:r>
            <w:r>
              <w:t xml:space="preserve">(receivers and managers appointed) (in liquidation) &amp; </w:t>
            </w:r>
            <w:proofErr w:type="spellStart"/>
            <w:r>
              <w:t>Ors</w:t>
            </w:r>
            <w:proofErr w:type="spellEnd"/>
            <w:r>
              <w:t>;</w:t>
            </w:r>
          </w:p>
          <w:p w14:paraId="7786B4F6" w14:textId="37FDB501" w:rsidR="00434F82" w:rsidRPr="00913869" w:rsidRDefault="00434F82" w:rsidP="00434F82">
            <w:pPr>
              <w:ind w:left="720"/>
            </w:pPr>
            <w:proofErr w:type="gramStart"/>
            <w:r>
              <w:t>Potts  v</w:t>
            </w:r>
            <w:proofErr w:type="gramEnd"/>
            <w:r>
              <w:t xml:space="preserve"> </w:t>
            </w:r>
            <w:r w:rsidR="00525022">
              <w:t xml:space="preserve"> </w:t>
            </w:r>
            <w:r>
              <w:t>National Australia Bank Limited</w:t>
            </w:r>
            <w:r w:rsidR="00C72DE1">
              <w:t xml:space="preserve"> (ABN 12004044937)</w:t>
            </w:r>
          </w:p>
        </w:tc>
        <w:tc>
          <w:tcPr>
            <w:tcW w:w="850" w:type="dxa"/>
            <w:shd w:val="clear" w:color="auto" w:fill="auto"/>
          </w:tcPr>
          <w:p w14:paraId="05D939EE" w14:textId="20F7C257" w:rsidR="00F03117" w:rsidRPr="00C65A07" w:rsidRDefault="00963646"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963646" w:rsidRPr="00007C4E" w14:paraId="5D9D63ED" w14:textId="77777777" w:rsidTr="00E66248">
        <w:tc>
          <w:tcPr>
            <w:tcW w:w="8755" w:type="dxa"/>
            <w:gridSpan w:val="2"/>
            <w:shd w:val="clear" w:color="auto" w:fill="auto"/>
          </w:tcPr>
          <w:p w14:paraId="3EB6DDF0" w14:textId="69FE5F00" w:rsidR="00963646" w:rsidRPr="00007C4E" w:rsidRDefault="0008045A" w:rsidP="00E66248">
            <w:pPr>
              <w:tabs>
                <w:tab w:val="left" w:pos="851"/>
                <w:tab w:val="right" w:pos="8505"/>
              </w:tabs>
              <w:jc w:val="both"/>
              <w:rPr>
                <w:u w:val="single"/>
              </w:rPr>
            </w:pPr>
            <w:r>
              <w:rPr>
                <w:u w:val="single"/>
              </w:rPr>
              <w:t>Thursday, 12 October 2023</w:t>
            </w:r>
            <w:r w:rsidR="00963646">
              <w:rPr>
                <w:u w:val="single"/>
              </w:rPr>
              <w:t xml:space="preserve"> </w:t>
            </w:r>
          </w:p>
          <w:p w14:paraId="086D2126" w14:textId="77777777" w:rsidR="00963646" w:rsidRDefault="00963646" w:rsidP="00E66248">
            <w:pPr>
              <w:pStyle w:val="Title"/>
              <w:jc w:val="left"/>
            </w:pPr>
          </w:p>
        </w:tc>
      </w:tr>
      <w:tr w:rsidR="00963646" w14:paraId="48EF4B8B" w14:textId="77777777" w:rsidTr="00E66248">
        <w:tc>
          <w:tcPr>
            <w:tcW w:w="7905" w:type="dxa"/>
            <w:shd w:val="clear" w:color="auto" w:fill="auto"/>
          </w:tcPr>
          <w:p w14:paraId="7A0F72FB" w14:textId="2CBCBDDE" w:rsidR="00963646" w:rsidRPr="00913869" w:rsidRDefault="0008045A" w:rsidP="00E66248">
            <w:pPr>
              <w:numPr>
                <w:ilvl w:val="0"/>
                <w:numId w:val="9"/>
              </w:numPr>
              <w:ind w:hanging="720"/>
            </w:pPr>
            <w:r>
              <w:t xml:space="preserve">The </w:t>
            </w:r>
            <w:proofErr w:type="gramStart"/>
            <w:r>
              <w:t xml:space="preserve">King </w:t>
            </w:r>
            <w:r w:rsidR="00963646" w:rsidRPr="00007C4E">
              <w:t xml:space="preserve"> v</w:t>
            </w:r>
            <w:proofErr w:type="gramEnd"/>
            <w:r w:rsidR="00963646" w:rsidRPr="00007C4E">
              <w:t xml:space="preserve">  </w:t>
            </w:r>
            <w:r>
              <w:t>Rohan (a pseudonym)</w:t>
            </w:r>
          </w:p>
        </w:tc>
        <w:tc>
          <w:tcPr>
            <w:tcW w:w="850" w:type="dxa"/>
            <w:shd w:val="clear" w:color="auto" w:fill="auto"/>
          </w:tcPr>
          <w:p w14:paraId="3DBAF900" w14:textId="74291654" w:rsidR="00963646" w:rsidRPr="00C65A07" w:rsidRDefault="002F170E" w:rsidP="00E66248">
            <w:pPr>
              <w:pStyle w:val="Title"/>
              <w:rPr>
                <w:u w:val="none"/>
              </w:rPr>
            </w:pPr>
            <w:r>
              <w:rPr>
                <w:u w:val="none"/>
              </w:rPr>
              <w:t>3</w:t>
            </w:r>
          </w:p>
        </w:tc>
      </w:tr>
    </w:tbl>
    <w:p w14:paraId="2FDA08A9" w14:textId="1F31E578" w:rsidR="004B7828" w:rsidRDefault="004B7828" w:rsidP="00913869"/>
    <w:tbl>
      <w:tblPr>
        <w:tblW w:w="0" w:type="auto"/>
        <w:tblLook w:val="04A0" w:firstRow="1" w:lastRow="0" w:firstColumn="1" w:lastColumn="0" w:noHBand="0" w:noVBand="1"/>
      </w:tblPr>
      <w:tblGrid>
        <w:gridCol w:w="7890"/>
        <w:gridCol w:w="849"/>
      </w:tblGrid>
      <w:tr w:rsidR="00963646" w:rsidRPr="00007C4E" w14:paraId="5C5C562A" w14:textId="77777777" w:rsidTr="00E66248">
        <w:tc>
          <w:tcPr>
            <w:tcW w:w="8755" w:type="dxa"/>
            <w:gridSpan w:val="2"/>
            <w:shd w:val="clear" w:color="auto" w:fill="auto"/>
          </w:tcPr>
          <w:p w14:paraId="3688F4E1" w14:textId="5B405EF2" w:rsidR="00963646" w:rsidRPr="00007C4E" w:rsidRDefault="0008045A" w:rsidP="00E66248">
            <w:pPr>
              <w:tabs>
                <w:tab w:val="left" w:pos="851"/>
                <w:tab w:val="right" w:pos="8505"/>
              </w:tabs>
              <w:jc w:val="both"/>
              <w:rPr>
                <w:u w:val="single"/>
              </w:rPr>
            </w:pPr>
            <w:r>
              <w:rPr>
                <w:u w:val="single"/>
              </w:rPr>
              <w:t>Tuesday, 17 October 2023</w:t>
            </w:r>
            <w:r w:rsidR="00963646">
              <w:rPr>
                <w:u w:val="single"/>
              </w:rPr>
              <w:t xml:space="preserve"> </w:t>
            </w:r>
          </w:p>
          <w:p w14:paraId="3F2728FD" w14:textId="77777777" w:rsidR="00963646" w:rsidRDefault="00963646" w:rsidP="00E66248">
            <w:pPr>
              <w:pStyle w:val="Title"/>
              <w:jc w:val="left"/>
            </w:pPr>
          </w:p>
        </w:tc>
      </w:tr>
      <w:tr w:rsidR="00963646" w14:paraId="78D84288" w14:textId="77777777" w:rsidTr="00E66248">
        <w:tc>
          <w:tcPr>
            <w:tcW w:w="7905" w:type="dxa"/>
            <w:shd w:val="clear" w:color="auto" w:fill="auto"/>
          </w:tcPr>
          <w:p w14:paraId="5D626472" w14:textId="5C6DD47D" w:rsidR="00963646" w:rsidRPr="00913869" w:rsidRDefault="0008045A" w:rsidP="00E66248">
            <w:pPr>
              <w:numPr>
                <w:ilvl w:val="0"/>
                <w:numId w:val="9"/>
              </w:numPr>
              <w:ind w:hanging="720"/>
            </w:pPr>
            <w:r>
              <w:t>Carmichael Rail Network Pty Ltd as Trustee for the Carmichael Rail</w:t>
            </w:r>
            <w:r w:rsidR="00963646" w:rsidRPr="00007C4E">
              <w:t xml:space="preserve"> </w:t>
            </w:r>
            <w:r w:rsidR="00EF746C">
              <w:t xml:space="preserve">Network </w:t>
            </w:r>
            <w:proofErr w:type="gramStart"/>
            <w:r w:rsidR="00EF746C">
              <w:t xml:space="preserve">Trust  </w:t>
            </w:r>
            <w:r w:rsidR="00963646" w:rsidRPr="00007C4E">
              <w:t>v</w:t>
            </w:r>
            <w:proofErr w:type="gramEnd"/>
            <w:r w:rsidR="00963646" w:rsidRPr="00007C4E">
              <w:t xml:space="preserve">  </w:t>
            </w:r>
            <w:r w:rsidR="00EF746C">
              <w:t>BBC Chartering Carriers GmbH &amp; Co. KG &amp; Anor</w:t>
            </w:r>
          </w:p>
        </w:tc>
        <w:tc>
          <w:tcPr>
            <w:tcW w:w="850" w:type="dxa"/>
            <w:shd w:val="clear" w:color="auto" w:fill="auto"/>
          </w:tcPr>
          <w:p w14:paraId="22B4456E" w14:textId="0EC303A4" w:rsidR="00963646" w:rsidRPr="00C65A07" w:rsidRDefault="00CB71B6" w:rsidP="00E66248">
            <w:pPr>
              <w:pStyle w:val="Title"/>
              <w:rPr>
                <w:u w:val="none"/>
              </w:rPr>
            </w:pPr>
            <w:r>
              <w:rPr>
                <w:u w:val="none"/>
              </w:rPr>
              <w:t>5</w:t>
            </w:r>
          </w:p>
        </w:tc>
      </w:tr>
    </w:tbl>
    <w:p w14:paraId="583CFB7E" w14:textId="1B7D56BE" w:rsidR="00963646" w:rsidRDefault="00963646" w:rsidP="00913869"/>
    <w:tbl>
      <w:tblPr>
        <w:tblW w:w="0" w:type="auto"/>
        <w:tblLook w:val="04A0" w:firstRow="1" w:lastRow="0" w:firstColumn="1" w:lastColumn="0" w:noHBand="0" w:noVBand="1"/>
      </w:tblPr>
      <w:tblGrid>
        <w:gridCol w:w="7890"/>
        <w:gridCol w:w="849"/>
      </w:tblGrid>
      <w:tr w:rsidR="00963646" w:rsidRPr="00007C4E" w14:paraId="3AC9CE7B" w14:textId="77777777" w:rsidTr="00E66248">
        <w:tc>
          <w:tcPr>
            <w:tcW w:w="8755" w:type="dxa"/>
            <w:gridSpan w:val="2"/>
            <w:shd w:val="clear" w:color="auto" w:fill="auto"/>
          </w:tcPr>
          <w:p w14:paraId="5D6C8334" w14:textId="5B065922" w:rsidR="00963646" w:rsidRPr="00007C4E" w:rsidRDefault="00EF746C" w:rsidP="00E66248">
            <w:pPr>
              <w:tabs>
                <w:tab w:val="left" w:pos="851"/>
                <w:tab w:val="right" w:pos="8505"/>
              </w:tabs>
              <w:jc w:val="both"/>
              <w:rPr>
                <w:u w:val="single"/>
              </w:rPr>
            </w:pPr>
            <w:r>
              <w:rPr>
                <w:u w:val="single"/>
              </w:rPr>
              <w:t>Wednesday, 18 October 2023</w:t>
            </w:r>
            <w:r w:rsidR="00963646">
              <w:rPr>
                <w:u w:val="single"/>
              </w:rPr>
              <w:t xml:space="preserve"> </w:t>
            </w:r>
          </w:p>
          <w:p w14:paraId="26F25C40" w14:textId="77777777" w:rsidR="00963646" w:rsidRDefault="00963646" w:rsidP="00E66248">
            <w:pPr>
              <w:pStyle w:val="Title"/>
              <w:jc w:val="left"/>
            </w:pPr>
          </w:p>
        </w:tc>
      </w:tr>
      <w:tr w:rsidR="00963646" w14:paraId="7BAC6DA8" w14:textId="77777777" w:rsidTr="00E66248">
        <w:tc>
          <w:tcPr>
            <w:tcW w:w="7905" w:type="dxa"/>
            <w:shd w:val="clear" w:color="auto" w:fill="auto"/>
          </w:tcPr>
          <w:p w14:paraId="6B03063E" w14:textId="66A3126F" w:rsidR="00963646" w:rsidRPr="00913869" w:rsidRDefault="00EF746C" w:rsidP="00E66248">
            <w:pPr>
              <w:numPr>
                <w:ilvl w:val="0"/>
                <w:numId w:val="9"/>
              </w:numPr>
              <w:ind w:hanging="720"/>
            </w:pPr>
            <w:proofErr w:type="gramStart"/>
            <w:r>
              <w:t xml:space="preserve">Xerri </w:t>
            </w:r>
            <w:r w:rsidR="00963646" w:rsidRPr="00007C4E">
              <w:t xml:space="preserve"> v</w:t>
            </w:r>
            <w:proofErr w:type="gramEnd"/>
            <w:r w:rsidR="00963646" w:rsidRPr="00007C4E">
              <w:t xml:space="preserve">  </w:t>
            </w:r>
            <w:r>
              <w:t>The King</w:t>
            </w:r>
          </w:p>
        </w:tc>
        <w:tc>
          <w:tcPr>
            <w:tcW w:w="850" w:type="dxa"/>
            <w:shd w:val="clear" w:color="auto" w:fill="auto"/>
          </w:tcPr>
          <w:p w14:paraId="6E137640" w14:textId="21461D2D" w:rsidR="00963646" w:rsidRPr="00C65A07" w:rsidRDefault="009F7CA1" w:rsidP="00E66248">
            <w:pPr>
              <w:pStyle w:val="Title"/>
              <w:rPr>
                <w:u w:val="none"/>
              </w:rPr>
            </w:pPr>
            <w:r>
              <w:rPr>
                <w:u w:val="none"/>
              </w:rPr>
              <w:t>7</w:t>
            </w:r>
          </w:p>
        </w:tc>
      </w:tr>
    </w:tbl>
    <w:p w14:paraId="327569E7" w14:textId="056ED157" w:rsidR="00963646" w:rsidRDefault="00963646" w:rsidP="00913869"/>
    <w:p w14:paraId="59AEA764" w14:textId="77777777" w:rsidR="00D35EE5" w:rsidRDefault="00107F40" w:rsidP="00D35EE5">
      <w:pPr>
        <w:pStyle w:val="NoSpacing"/>
        <w:rPr>
          <w:rFonts w:ascii="Arial" w:eastAsia="Times New Roman" w:hAnsi="Arial" w:cs="Arial"/>
          <w:b/>
          <w:color w:val="000000"/>
          <w:sz w:val="28"/>
          <w:szCs w:val="28"/>
          <w:lang w:eastAsia="en-AU"/>
        </w:rPr>
      </w:pPr>
      <w:r>
        <w:br w:type="page"/>
      </w:r>
      <w:r w:rsidR="00D35EE5" w:rsidRPr="005200E9">
        <w:rPr>
          <w:rFonts w:ascii="Arial" w:eastAsia="Times New Roman" w:hAnsi="Arial" w:cs="Arial"/>
          <w:b/>
          <w:color w:val="000000"/>
          <w:sz w:val="28"/>
          <w:szCs w:val="28"/>
          <w:u w:val="single"/>
          <w:lang w:eastAsia="en-AU"/>
        </w:rPr>
        <w:lastRenderedPageBreak/>
        <w:t xml:space="preserve">POTTS &amp; ANOR </w:t>
      </w:r>
      <w:r w:rsidR="00D35EE5">
        <w:rPr>
          <w:rFonts w:ascii="Arial" w:eastAsia="Times New Roman" w:hAnsi="Arial" w:cs="Arial"/>
          <w:b/>
          <w:color w:val="000000"/>
          <w:sz w:val="28"/>
          <w:szCs w:val="28"/>
          <w:u w:val="single"/>
          <w:lang w:eastAsia="en-AU"/>
        </w:rPr>
        <w:t>v</w:t>
      </w:r>
      <w:r w:rsidR="00D35EE5" w:rsidRPr="005200E9">
        <w:rPr>
          <w:rFonts w:ascii="Arial" w:eastAsia="Times New Roman" w:hAnsi="Arial" w:cs="Arial"/>
          <w:b/>
          <w:color w:val="000000"/>
          <w:sz w:val="28"/>
          <w:szCs w:val="28"/>
          <w:u w:val="single"/>
          <w:lang w:eastAsia="en-AU"/>
        </w:rPr>
        <w:t xml:space="preserve"> DSHE HOLDINGS LTD</w:t>
      </w:r>
      <w:r w:rsidR="00D35EE5">
        <w:rPr>
          <w:rFonts w:ascii="Arial" w:eastAsia="Times New Roman" w:hAnsi="Arial" w:cs="Arial"/>
          <w:b/>
          <w:color w:val="000000"/>
          <w:sz w:val="28"/>
          <w:szCs w:val="28"/>
          <w:u w:val="single"/>
          <w:lang w:eastAsia="en-AU"/>
        </w:rPr>
        <w:t xml:space="preserve"> ACN 166 237 841</w:t>
      </w:r>
      <w:r w:rsidR="00D35EE5" w:rsidRPr="005200E9">
        <w:rPr>
          <w:rFonts w:ascii="Arial" w:eastAsia="Times New Roman" w:hAnsi="Arial" w:cs="Arial"/>
          <w:b/>
          <w:color w:val="000000"/>
          <w:sz w:val="28"/>
          <w:szCs w:val="28"/>
          <w:u w:val="single"/>
          <w:lang w:eastAsia="en-AU"/>
        </w:rPr>
        <w:t xml:space="preserve"> (RECEIVERS AND MANAGERS APPOINTED) (IN LIQUIDATION) &amp; ORS</w:t>
      </w:r>
      <w:r w:rsidR="00D35EE5" w:rsidRPr="0096712A">
        <w:rPr>
          <w:rFonts w:ascii="Arial" w:eastAsia="Times New Roman" w:hAnsi="Arial" w:cs="Arial"/>
          <w:b/>
          <w:color w:val="000000"/>
          <w:sz w:val="28"/>
          <w:szCs w:val="28"/>
          <w:lang w:eastAsia="en-AU"/>
        </w:rPr>
        <w:t xml:space="preserve"> (</w:t>
      </w:r>
      <w:r w:rsidR="00D35EE5">
        <w:rPr>
          <w:rFonts w:ascii="Arial" w:eastAsia="Times New Roman" w:hAnsi="Arial" w:cs="Arial"/>
          <w:b/>
          <w:color w:val="000000"/>
          <w:sz w:val="28"/>
          <w:szCs w:val="28"/>
          <w:lang w:eastAsia="en-AU"/>
        </w:rPr>
        <w:t>S47/2023</w:t>
      </w:r>
      <w:proofErr w:type="gramStart"/>
      <w:r w:rsidR="00D35EE5" w:rsidRPr="0096712A">
        <w:rPr>
          <w:rFonts w:ascii="Arial" w:eastAsia="Times New Roman" w:hAnsi="Arial" w:cs="Arial"/>
          <w:b/>
          <w:color w:val="000000"/>
          <w:sz w:val="28"/>
          <w:szCs w:val="28"/>
          <w:lang w:eastAsia="en-AU"/>
        </w:rPr>
        <w:t>)</w:t>
      </w:r>
      <w:r w:rsidR="00D35EE5">
        <w:rPr>
          <w:rFonts w:ascii="Arial" w:eastAsia="Times New Roman" w:hAnsi="Arial" w:cs="Arial"/>
          <w:b/>
          <w:color w:val="000000"/>
          <w:sz w:val="28"/>
          <w:szCs w:val="28"/>
          <w:lang w:eastAsia="en-AU"/>
        </w:rPr>
        <w:t>;</w:t>
      </w:r>
      <w:proofErr w:type="gramEnd"/>
    </w:p>
    <w:p w14:paraId="1C58A00A" w14:textId="77777777" w:rsidR="00D35EE5" w:rsidRDefault="00D35EE5" w:rsidP="00D35EE5">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t>POTTS</w:t>
      </w:r>
      <w:r w:rsidRPr="00550E14">
        <w:rPr>
          <w:rFonts w:ascii="Arial" w:eastAsia="Times New Roman" w:hAnsi="Arial" w:cs="Arial"/>
          <w:b/>
          <w:color w:val="000000"/>
          <w:sz w:val="28"/>
          <w:szCs w:val="28"/>
          <w:u w:val="single"/>
          <w:lang w:eastAsia="en-AU"/>
        </w:rPr>
        <w:t xml:space="preserve"> v </w:t>
      </w:r>
      <w:r>
        <w:rPr>
          <w:rFonts w:ascii="Arial" w:eastAsia="Times New Roman" w:hAnsi="Arial" w:cs="Arial"/>
          <w:b/>
          <w:color w:val="000000"/>
          <w:sz w:val="28"/>
          <w:szCs w:val="28"/>
          <w:u w:val="single"/>
          <w:lang w:eastAsia="en-AU"/>
        </w:rPr>
        <w:t xml:space="preserve">NATIONAL AUSTRALIA BANK LIMITED </w:t>
      </w:r>
      <w:r>
        <w:rPr>
          <w:rFonts w:ascii="Arial" w:eastAsia="Times New Roman" w:hAnsi="Arial" w:cs="Arial"/>
          <w:b/>
          <w:color w:val="000000"/>
          <w:sz w:val="28"/>
          <w:szCs w:val="28"/>
          <w:u w:val="single"/>
          <w:lang w:eastAsia="en-AU"/>
        </w:rPr>
        <w:br/>
        <w:t>(ABN 12004044937)</w:t>
      </w:r>
      <w:r>
        <w:rPr>
          <w:rFonts w:ascii="Arial" w:eastAsia="Times New Roman" w:hAnsi="Arial" w:cs="Arial"/>
          <w:b/>
          <w:color w:val="000000"/>
          <w:sz w:val="28"/>
          <w:szCs w:val="28"/>
          <w:lang w:eastAsia="en-AU"/>
        </w:rPr>
        <w:t xml:space="preserve"> (S48/2023)</w:t>
      </w:r>
    </w:p>
    <w:p w14:paraId="0F006B04" w14:textId="77777777" w:rsidR="00D35EE5" w:rsidRPr="00A920AB" w:rsidRDefault="00D35EE5" w:rsidP="00D35EE5">
      <w:pPr>
        <w:rPr>
          <w:rFonts w:cs="Arial"/>
          <w:szCs w:val="24"/>
        </w:rPr>
      </w:pPr>
    </w:p>
    <w:p w14:paraId="1E162197" w14:textId="77777777" w:rsidR="00D35EE5" w:rsidRPr="006A1C3E" w:rsidRDefault="00D35EE5" w:rsidP="00D35EE5">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Appeal of the Supreme Court of </w:t>
      </w:r>
      <w:r>
        <w:rPr>
          <w:rFonts w:cs="Arial"/>
          <w:szCs w:val="24"/>
        </w:rPr>
        <w:br/>
        <w:t>New South Wales</w:t>
      </w:r>
    </w:p>
    <w:p w14:paraId="52136CFB" w14:textId="77777777" w:rsidR="00D35EE5" w:rsidRPr="006A1C3E" w:rsidRDefault="00D35EE5" w:rsidP="00D35EE5">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[2022] NSWCA 165</w:t>
      </w:r>
    </w:p>
    <w:p w14:paraId="4E48ABD4" w14:textId="77777777" w:rsidR="00D35EE5" w:rsidRPr="006A1C3E" w:rsidRDefault="00D35EE5" w:rsidP="00D35EE5">
      <w:pPr>
        <w:ind w:left="2694" w:hanging="2694"/>
        <w:rPr>
          <w:rFonts w:cs="Arial"/>
          <w:szCs w:val="24"/>
        </w:rPr>
      </w:pPr>
      <w:r w:rsidRPr="006A1C3E">
        <w:rPr>
          <w:rFonts w:cs="Arial"/>
          <w:szCs w:val="24"/>
        </w:rPr>
        <w:tab/>
      </w:r>
    </w:p>
    <w:p w14:paraId="54F4CB44" w14:textId="77777777" w:rsidR="00D35EE5" w:rsidRPr="006A1C3E" w:rsidRDefault="00D35EE5" w:rsidP="00D35EE5">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26 August 2022</w:t>
      </w:r>
    </w:p>
    <w:p w14:paraId="4E26D515" w14:textId="77777777" w:rsidR="00D35EE5" w:rsidRPr="006A1C3E" w:rsidRDefault="00D35EE5" w:rsidP="00D35EE5">
      <w:pPr>
        <w:ind w:left="2694" w:hanging="2694"/>
        <w:rPr>
          <w:rFonts w:cs="Arial"/>
          <w:szCs w:val="24"/>
        </w:rPr>
      </w:pPr>
    </w:p>
    <w:p w14:paraId="42C95740" w14:textId="77777777" w:rsidR="00D35EE5" w:rsidRDefault="00D35EE5" w:rsidP="00D35EE5">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21 April </w:t>
      </w:r>
      <w:r w:rsidRPr="006A1C3E">
        <w:rPr>
          <w:rFonts w:cs="Arial"/>
          <w:szCs w:val="24"/>
        </w:rPr>
        <w:t>202</w:t>
      </w:r>
      <w:r>
        <w:rPr>
          <w:rFonts w:cs="Arial"/>
          <w:szCs w:val="24"/>
        </w:rPr>
        <w:t>3</w:t>
      </w:r>
    </w:p>
    <w:p w14:paraId="41251D2C" w14:textId="77777777" w:rsidR="00D35EE5" w:rsidRDefault="00D35EE5" w:rsidP="00D35EE5">
      <w:pPr>
        <w:shd w:val="clear" w:color="auto" w:fill="FFFFFF"/>
        <w:jc w:val="both"/>
        <w:rPr>
          <w:rFonts w:cs="Arial"/>
          <w:szCs w:val="24"/>
        </w:rPr>
      </w:pPr>
      <w:bookmarkStart w:id="0" w:name="Heading133"/>
      <w:bookmarkEnd w:id="0"/>
    </w:p>
    <w:p w14:paraId="47DD028A" w14:textId="77777777" w:rsidR="00D35EE5" w:rsidRDefault="00D35EE5" w:rsidP="00D35EE5">
      <w:pPr>
        <w:shd w:val="clear" w:color="auto" w:fill="FFFFFF"/>
        <w:jc w:val="both"/>
        <w:rPr>
          <w:rFonts w:cs="Arial"/>
          <w:szCs w:val="24"/>
        </w:rPr>
      </w:pPr>
      <w:r>
        <w:rPr>
          <w:rFonts w:cs="Arial"/>
          <w:szCs w:val="24"/>
        </w:rPr>
        <w:t xml:space="preserve">DSHE Holdings Pty Ltd (“DSH”) was incorporated in 2013 (when it was known as Dick Smith Holdings Ltd), for the floating of the Dick Smith electronics business on the Australian Securities Exchange.  Mr Nicholas </w:t>
      </w:r>
      <w:proofErr w:type="spellStart"/>
      <w:r>
        <w:rPr>
          <w:rFonts w:cs="Arial"/>
          <w:szCs w:val="24"/>
        </w:rPr>
        <w:t>Abboud</w:t>
      </w:r>
      <w:proofErr w:type="spellEnd"/>
      <w:r>
        <w:rPr>
          <w:rFonts w:cs="Arial"/>
          <w:szCs w:val="24"/>
        </w:rPr>
        <w:t xml:space="preserve"> became DSH’s managing director and chief executive officer.  Another director, Mr Michael Potts, was the company secretary and chief financial officer.  DSH went into voluntary administration in January 2016, and into liquidation six months later.  </w:t>
      </w:r>
    </w:p>
    <w:p w14:paraId="04B75502" w14:textId="77777777" w:rsidR="00D35EE5" w:rsidRDefault="00D35EE5" w:rsidP="00D35EE5">
      <w:pPr>
        <w:shd w:val="clear" w:color="auto" w:fill="FFFFFF"/>
        <w:jc w:val="both"/>
        <w:rPr>
          <w:rFonts w:cs="Arial"/>
          <w:szCs w:val="24"/>
        </w:rPr>
      </w:pPr>
    </w:p>
    <w:p w14:paraId="0844DE49" w14:textId="7A060DDE" w:rsidR="00D35EE5" w:rsidRPr="00375298" w:rsidRDefault="00D35EE5" w:rsidP="00D35EE5">
      <w:pPr>
        <w:shd w:val="clear" w:color="auto" w:fill="FFFFFF"/>
        <w:jc w:val="both"/>
        <w:rPr>
          <w:rFonts w:cs="Arial"/>
          <w:color w:val="808080" w:themeColor="background1" w:themeShade="80"/>
          <w:szCs w:val="24"/>
        </w:rPr>
      </w:pPr>
      <w:r>
        <w:rPr>
          <w:rFonts w:cs="Arial"/>
          <w:szCs w:val="24"/>
        </w:rPr>
        <w:t xml:space="preserve">Receivers were appointed in January 2016 by two secured creditors, </w:t>
      </w:r>
      <w:r w:rsidR="000C72F0">
        <w:rPr>
          <w:rFonts w:cs="Arial"/>
          <w:szCs w:val="24"/>
        </w:rPr>
        <w:br/>
      </w:r>
      <w:r>
        <w:rPr>
          <w:rFonts w:cs="Arial"/>
          <w:szCs w:val="24"/>
        </w:rPr>
        <w:t xml:space="preserve">National Australia Bank Limited (“NAB”) and HSBC Bank Australia Limited (“HSBC”).  The receivers commenced Supreme Court proceedings in DSH’s name </w:t>
      </w:r>
      <w:r w:rsidR="00E75DF1">
        <w:rPr>
          <w:rFonts w:cs="Arial"/>
          <w:szCs w:val="24"/>
        </w:rPr>
        <w:br/>
      </w:r>
      <w:r>
        <w:rPr>
          <w:rFonts w:cs="Arial"/>
          <w:szCs w:val="24"/>
        </w:rPr>
        <w:t xml:space="preserve">(“the company case”) against Mr </w:t>
      </w:r>
      <w:proofErr w:type="spellStart"/>
      <w:r>
        <w:rPr>
          <w:rFonts w:cs="Arial"/>
          <w:szCs w:val="24"/>
        </w:rPr>
        <w:t>Abboud</w:t>
      </w:r>
      <w:proofErr w:type="spellEnd"/>
      <w:r>
        <w:rPr>
          <w:rFonts w:cs="Arial"/>
          <w:szCs w:val="24"/>
        </w:rPr>
        <w:t xml:space="preserve">, Mr Potts, and other directors, </w:t>
      </w:r>
      <w:r w:rsidR="00E75DF1">
        <w:rPr>
          <w:rFonts w:cs="Arial"/>
          <w:szCs w:val="24"/>
        </w:rPr>
        <w:br/>
      </w:r>
      <w:r>
        <w:rPr>
          <w:rFonts w:cs="Arial"/>
          <w:szCs w:val="24"/>
        </w:rPr>
        <w:t xml:space="preserve">alleging breaches of the duty of care owed under section 180(1) of the </w:t>
      </w:r>
      <w:r w:rsidR="00E75DF1">
        <w:rPr>
          <w:rFonts w:cs="Arial"/>
          <w:szCs w:val="24"/>
        </w:rPr>
        <w:br/>
      </w:r>
      <w:r w:rsidRPr="00A23A75">
        <w:rPr>
          <w:rFonts w:cs="Arial"/>
          <w:i/>
          <w:iCs/>
          <w:szCs w:val="24"/>
        </w:rPr>
        <w:t>Corporations Act 2001</w:t>
      </w:r>
      <w:r>
        <w:rPr>
          <w:rFonts w:cs="Arial"/>
          <w:szCs w:val="24"/>
        </w:rPr>
        <w:t xml:space="preserve"> (Cth) (“the Act”) and under the general law in the directors’ decision to declare a final dividend of $11.826 million (“the Dividend”) in </w:t>
      </w:r>
      <w:r w:rsidR="00E75DF1">
        <w:rPr>
          <w:rFonts w:cs="Arial"/>
          <w:szCs w:val="24"/>
        </w:rPr>
        <w:br/>
      </w:r>
      <w:r>
        <w:rPr>
          <w:rFonts w:cs="Arial"/>
          <w:szCs w:val="24"/>
        </w:rPr>
        <w:t>August 2015.</w:t>
      </w:r>
    </w:p>
    <w:p w14:paraId="55103E9B" w14:textId="77777777" w:rsidR="00D35EE5" w:rsidRDefault="00D35EE5" w:rsidP="00D35EE5">
      <w:pPr>
        <w:shd w:val="clear" w:color="auto" w:fill="FFFFFF"/>
        <w:jc w:val="both"/>
        <w:rPr>
          <w:rFonts w:cs="Arial"/>
          <w:szCs w:val="24"/>
        </w:rPr>
      </w:pPr>
    </w:p>
    <w:p w14:paraId="6B3EA0F7" w14:textId="6B72D38C" w:rsidR="00D35EE5" w:rsidRDefault="00D35EE5" w:rsidP="00D35EE5">
      <w:pPr>
        <w:shd w:val="clear" w:color="auto" w:fill="FFFFFF"/>
        <w:jc w:val="both"/>
        <w:rPr>
          <w:rFonts w:cs="Arial"/>
          <w:szCs w:val="24"/>
        </w:rPr>
      </w:pPr>
      <w:r>
        <w:rPr>
          <w:rFonts w:cs="Arial"/>
          <w:szCs w:val="24"/>
        </w:rPr>
        <w:t xml:space="preserve">NAB and HSBC also sued Mr </w:t>
      </w:r>
      <w:proofErr w:type="spellStart"/>
      <w:r>
        <w:rPr>
          <w:rFonts w:cs="Arial"/>
          <w:szCs w:val="24"/>
        </w:rPr>
        <w:t>Abboud</w:t>
      </w:r>
      <w:proofErr w:type="spellEnd"/>
      <w:r>
        <w:rPr>
          <w:rFonts w:cs="Arial"/>
          <w:szCs w:val="24"/>
        </w:rPr>
        <w:t xml:space="preserve"> and Mr Potts in a separate proceeding </w:t>
      </w:r>
      <w:r w:rsidR="00783533">
        <w:rPr>
          <w:rFonts w:cs="Arial"/>
          <w:szCs w:val="24"/>
        </w:rPr>
        <w:br/>
      </w:r>
      <w:r>
        <w:rPr>
          <w:rFonts w:cs="Arial"/>
          <w:szCs w:val="24"/>
        </w:rPr>
        <w:t xml:space="preserve">(“the bank case”), alleging that the men had engaged in misleading or deceptive conduct (contrary to s 1041H of the Act, s 18 of the </w:t>
      </w:r>
      <w:r w:rsidRPr="00A11B78">
        <w:rPr>
          <w:rFonts w:cs="Arial"/>
          <w:i/>
          <w:iCs/>
          <w:szCs w:val="24"/>
        </w:rPr>
        <w:t>Australian Consumer Law</w:t>
      </w:r>
      <w:r>
        <w:rPr>
          <w:rFonts w:cs="Arial"/>
          <w:szCs w:val="24"/>
        </w:rPr>
        <w:t xml:space="preserve"> and s 12DA of the </w:t>
      </w:r>
      <w:r w:rsidRPr="00286CE6">
        <w:rPr>
          <w:rFonts w:cs="Arial"/>
          <w:i/>
          <w:iCs/>
          <w:szCs w:val="24"/>
        </w:rPr>
        <w:t>Australian Securities and Investments Commission Act 2001</w:t>
      </w:r>
      <w:r>
        <w:rPr>
          <w:rFonts w:cs="Arial"/>
          <w:szCs w:val="24"/>
        </w:rPr>
        <w:t xml:space="preserve"> (Cth)) in inducing the banks to enter into an </w:t>
      </w:r>
      <w:r w:rsidRPr="00261935">
        <w:rPr>
          <w:rFonts w:cs="Arial"/>
          <w:szCs w:val="24"/>
        </w:rPr>
        <w:t xml:space="preserve">agreement for the provision of finance, </w:t>
      </w:r>
      <w:r w:rsidR="00783533">
        <w:rPr>
          <w:rFonts w:cs="Arial"/>
          <w:szCs w:val="24"/>
        </w:rPr>
        <w:br/>
      </w:r>
      <w:r w:rsidRPr="00261935">
        <w:rPr>
          <w:rFonts w:cs="Arial"/>
          <w:szCs w:val="24"/>
        </w:rPr>
        <w:t>known as the Syndicated Facility Agreement (“the SFA”), in June</w:t>
      </w:r>
      <w:r>
        <w:rPr>
          <w:rFonts w:cs="Arial"/>
          <w:szCs w:val="24"/>
        </w:rPr>
        <w:t xml:space="preserve"> 2015.  One of the warranties given by DSH in the SFA, at clause 21.1(t), was to the effect that information given by the company to either bank was accurate and not materially misleading (“the Warranty”).</w:t>
      </w:r>
    </w:p>
    <w:p w14:paraId="5CB209B5" w14:textId="77777777" w:rsidR="00D35EE5" w:rsidRDefault="00D35EE5" w:rsidP="00D35EE5">
      <w:pPr>
        <w:shd w:val="clear" w:color="auto" w:fill="FFFFFF"/>
        <w:jc w:val="both"/>
        <w:rPr>
          <w:rFonts w:cs="Arial"/>
          <w:szCs w:val="24"/>
        </w:rPr>
      </w:pPr>
    </w:p>
    <w:p w14:paraId="352B46D6" w14:textId="2F2A831E" w:rsidR="00D35EE5" w:rsidRDefault="00D35EE5" w:rsidP="00D35EE5">
      <w:pPr>
        <w:shd w:val="clear" w:color="auto" w:fill="FFFFFF"/>
        <w:jc w:val="both"/>
        <w:rPr>
          <w:rFonts w:cs="Arial"/>
          <w:szCs w:val="24"/>
        </w:rPr>
      </w:pPr>
      <w:r>
        <w:rPr>
          <w:rFonts w:cs="Arial"/>
          <w:szCs w:val="24"/>
        </w:rPr>
        <w:t xml:space="preserve">Ball J dismissed the company case.  His </w:t>
      </w:r>
      <w:proofErr w:type="spellStart"/>
      <w:r>
        <w:rPr>
          <w:rFonts w:cs="Arial"/>
          <w:szCs w:val="24"/>
        </w:rPr>
        <w:t>Honour</w:t>
      </w:r>
      <w:proofErr w:type="spellEnd"/>
      <w:r>
        <w:rPr>
          <w:rFonts w:cs="Arial"/>
          <w:szCs w:val="24"/>
        </w:rPr>
        <w:t xml:space="preserve"> held that Mr Potts, but not </w:t>
      </w:r>
      <w:r w:rsidR="00783533">
        <w:rPr>
          <w:rFonts w:cs="Arial"/>
          <w:szCs w:val="24"/>
        </w:rPr>
        <w:br/>
      </w:r>
      <w:r>
        <w:rPr>
          <w:rFonts w:cs="Arial"/>
          <w:szCs w:val="24"/>
        </w:rPr>
        <w:t xml:space="preserve">Mr </w:t>
      </w:r>
      <w:proofErr w:type="spellStart"/>
      <w:r>
        <w:rPr>
          <w:rFonts w:cs="Arial"/>
          <w:szCs w:val="24"/>
        </w:rPr>
        <w:t>Abboud</w:t>
      </w:r>
      <w:proofErr w:type="spellEnd"/>
      <w:r>
        <w:rPr>
          <w:rFonts w:cs="Arial"/>
          <w:szCs w:val="24"/>
        </w:rPr>
        <w:t xml:space="preserve">, had contravened s 180 of the Act by voting in </w:t>
      </w:r>
      <w:proofErr w:type="spellStart"/>
      <w:r>
        <w:rPr>
          <w:rFonts w:cs="Arial"/>
          <w:szCs w:val="24"/>
        </w:rPr>
        <w:t>favour</w:t>
      </w:r>
      <w:proofErr w:type="spellEnd"/>
      <w:r>
        <w:rPr>
          <w:rFonts w:cs="Arial"/>
          <w:szCs w:val="24"/>
        </w:rPr>
        <w:t xml:space="preserve"> of the resolution for payment of the Dividend, in view of DSH’s cash flow forecast having indicated that the company would be unable to meet </w:t>
      </w:r>
      <w:proofErr w:type="gramStart"/>
      <w:r>
        <w:rPr>
          <w:rFonts w:cs="Arial"/>
          <w:szCs w:val="24"/>
        </w:rPr>
        <w:t>all of</w:t>
      </w:r>
      <w:proofErr w:type="gramEnd"/>
      <w:r>
        <w:rPr>
          <w:rFonts w:cs="Arial"/>
          <w:szCs w:val="24"/>
        </w:rPr>
        <w:t xml:space="preserve"> its projected liabilities.  Ball J held however that Mr Potts’ contravention did not cause DSH loss </w:t>
      </w:r>
      <w:proofErr w:type="gramStart"/>
      <w:r>
        <w:rPr>
          <w:rFonts w:cs="Arial"/>
          <w:szCs w:val="24"/>
        </w:rPr>
        <w:t>so as to</w:t>
      </w:r>
      <w:proofErr w:type="gramEnd"/>
      <w:r>
        <w:rPr>
          <w:rFonts w:cs="Arial"/>
          <w:szCs w:val="24"/>
        </w:rPr>
        <w:t xml:space="preserve"> support an order for compensation, under s 1317H of the Act, as the company had failed to establish that, but for the contravention, the Dividend would not have been paid.</w:t>
      </w:r>
    </w:p>
    <w:p w14:paraId="584950AA" w14:textId="77777777" w:rsidR="00D35EE5" w:rsidRDefault="00D35EE5" w:rsidP="00D35EE5">
      <w:pPr>
        <w:shd w:val="clear" w:color="auto" w:fill="FFFFFF"/>
        <w:jc w:val="both"/>
        <w:rPr>
          <w:rFonts w:cs="Arial"/>
          <w:szCs w:val="24"/>
        </w:rPr>
      </w:pPr>
    </w:p>
    <w:p w14:paraId="0FA86A32" w14:textId="7E2BAB6E" w:rsidR="00D35EE5" w:rsidRDefault="00D35EE5" w:rsidP="00D35EE5">
      <w:pPr>
        <w:shd w:val="clear" w:color="auto" w:fill="FFFFFF"/>
        <w:jc w:val="both"/>
        <w:rPr>
          <w:rFonts w:cs="Arial"/>
          <w:szCs w:val="24"/>
        </w:rPr>
      </w:pPr>
      <w:r>
        <w:rPr>
          <w:rFonts w:cs="Arial"/>
          <w:szCs w:val="24"/>
        </w:rPr>
        <w:t xml:space="preserve">In the bank case, Ball J gave judgment for NAB against Mr Potts in the sum of $57.278 million, but otherwise dismissed the case.  His </w:t>
      </w:r>
      <w:proofErr w:type="spellStart"/>
      <w:r>
        <w:rPr>
          <w:rFonts w:cs="Arial"/>
          <w:szCs w:val="24"/>
        </w:rPr>
        <w:t>Honour</w:t>
      </w:r>
      <w:proofErr w:type="spellEnd"/>
      <w:r>
        <w:rPr>
          <w:rFonts w:cs="Arial"/>
          <w:szCs w:val="24"/>
        </w:rPr>
        <w:t xml:space="preserve"> held that Mr Potts had engaged in misleading conduct by withholding from NAB</w:t>
      </w:r>
      <w:r w:rsidRPr="00B72A71">
        <w:rPr>
          <w:rFonts w:cs="Arial"/>
          <w:szCs w:val="24"/>
        </w:rPr>
        <w:t xml:space="preserve"> </w:t>
      </w:r>
      <w:r>
        <w:rPr>
          <w:rFonts w:cs="Arial"/>
          <w:szCs w:val="24"/>
        </w:rPr>
        <w:t>information (relating to DSH’s inventory levels) which</w:t>
      </w:r>
      <w:r w:rsidRPr="00E23A1A">
        <w:rPr>
          <w:rFonts w:cs="Arial"/>
          <w:szCs w:val="24"/>
        </w:rPr>
        <w:t xml:space="preserve"> </w:t>
      </w:r>
      <w:r>
        <w:rPr>
          <w:rFonts w:cs="Arial"/>
          <w:szCs w:val="24"/>
        </w:rPr>
        <w:t xml:space="preserve">was of such significance that, had it been disclosed, the bank would have decided not to </w:t>
      </w:r>
      <w:proofErr w:type="gramStart"/>
      <w:r>
        <w:rPr>
          <w:rFonts w:cs="Arial"/>
          <w:szCs w:val="24"/>
        </w:rPr>
        <w:t>enter into</w:t>
      </w:r>
      <w:proofErr w:type="gramEnd"/>
      <w:r>
        <w:rPr>
          <w:rFonts w:cs="Arial"/>
          <w:szCs w:val="24"/>
        </w:rPr>
        <w:t xml:space="preserve"> the SFA.</w:t>
      </w:r>
    </w:p>
    <w:p w14:paraId="4AFEAADF" w14:textId="77777777" w:rsidR="00D35EE5" w:rsidRPr="00E87964" w:rsidRDefault="00D35EE5" w:rsidP="00D35EE5">
      <w:pPr>
        <w:shd w:val="clear" w:color="auto" w:fill="FFFFFF"/>
        <w:jc w:val="both"/>
        <w:rPr>
          <w:rFonts w:cs="Arial"/>
          <w:szCs w:val="24"/>
        </w:rPr>
      </w:pPr>
    </w:p>
    <w:p w14:paraId="26EE1B62" w14:textId="77777777" w:rsidR="00D35EE5" w:rsidRDefault="00D35EE5" w:rsidP="00D35EE5">
      <w:pPr>
        <w:shd w:val="clear" w:color="auto" w:fill="FFFFFF"/>
        <w:jc w:val="both"/>
        <w:rPr>
          <w:rFonts w:cs="Arial"/>
          <w:szCs w:val="24"/>
        </w:rPr>
      </w:pPr>
      <w:r>
        <w:rPr>
          <w:rFonts w:cs="Arial"/>
          <w:szCs w:val="24"/>
        </w:rPr>
        <w:lastRenderedPageBreak/>
        <w:t>DSH appealed from Ball J’s findings as to contravention of s 180 of the Act and the lack of damage for the purposes of s 1317H.</w:t>
      </w:r>
    </w:p>
    <w:p w14:paraId="179D476F" w14:textId="77777777" w:rsidR="00D35EE5" w:rsidRDefault="00D35EE5" w:rsidP="00D35EE5">
      <w:pPr>
        <w:shd w:val="clear" w:color="auto" w:fill="FFFFFF"/>
        <w:jc w:val="both"/>
        <w:rPr>
          <w:rFonts w:cs="Arial"/>
          <w:szCs w:val="24"/>
        </w:rPr>
      </w:pPr>
    </w:p>
    <w:p w14:paraId="07CA3615" w14:textId="6C5C8C1A" w:rsidR="00D35EE5" w:rsidRDefault="00D35EE5" w:rsidP="00D35EE5">
      <w:pPr>
        <w:shd w:val="clear" w:color="auto" w:fill="FFFFFF"/>
        <w:jc w:val="both"/>
        <w:rPr>
          <w:rFonts w:cs="Arial"/>
          <w:szCs w:val="24"/>
        </w:rPr>
      </w:pPr>
      <w:r>
        <w:rPr>
          <w:rFonts w:cs="Arial"/>
          <w:szCs w:val="24"/>
        </w:rPr>
        <w:t xml:space="preserve">Mr Potts appealed from Ball J’s judgment insofar as it determined the bank case in NAB’s </w:t>
      </w:r>
      <w:proofErr w:type="spellStart"/>
      <w:r>
        <w:rPr>
          <w:rFonts w:cs="Arial"/>
          <w:szCs w:val="24"/>
        </w:rPr>
        <w:t>favour</w:t>
      </w:r>
      <w:proofErr w:type="spellEnd"/>
      <w:r>
        <w:rPr>
          <w:rFonts w:cs="Arial"/>
          <w:szCs w:val="24"/>
        </w:rPr>
        <w:t xml:space="preserve">, Mr Potts seeking that his liability to NAB be reduced to </w:t>
      </w:r>
      <w:r w:rsidRPr="00632939">
        <w:rPr>
          <w:rFonts w:cs="Arial"/>
          <w:szCs w:val="24"/>
        </w:rPr>
        <w:t>no more than 50%</w:t>
      </w:r>
      <w:r>
        <w:rPr>
          <w:rFonts w:cs="Arial"/>
          <w:szCs w:val="24"/>
        </w:rPr>
        <w:t xml:space="preserve">.  This was on the basis that DSH was a concurrent wrongdoer, within the meaning of the Act and cognate legislation, </w:t>
      </w:r>
      <w:r w:rsidRPr="00632939">
        <w:rPr>
          <w:rFonts w:cs="Arial"/>
          <w:szCs w:val="24"/>
        </w:rPr>
        <w:t xml:space="preserve">whose misleading conduct </w:t>
      </w:r>
      <w:r>
        <w:rPr>
          <w:rFonts w:cs="Arial"/>
          <w:szCs w:val="24"/>
        </w:rPr>
        <w:t xml:space="preserve">in breach of the Warranty </w:t>
      </w:r>
      <w:r w:rsidRPr="00632939">
        <w:rPr>
          <w:rFonts w:cs="Arial"/>
          <w:szCs w:val="24"/>
        </w:rPr>
        <w:t xml:space="preserve">had been a cause of NAB’s entry into the </w:t>
      </w:r>
      <w:r>
        <w:rPr>
          <w:rFonts w:cs="Arial"/>
          <w:szCs w:val="24"/>
        </w:rPr>
        <w:t xml:space="preserve">SFA, and that a </w:t>
      </w:r>
      <w:proofErr w:type="spellStart"/>
      <w:r>
        <w:rPr>
          <w:rFonts w:cs="Arial"/>
          <w:szCs w:val="24"/>
        </w:rPr>
        <w:t>defence</w:t>
      </w:r>
      <w:proofErr w:type="spellEnd"/>
      <w:r>
        <w:rPr>
          <w:rFonts w:cs="Arial"/>
          <w:szCs w:val="24"/>
        </w:rPr>
        <w:t xml:space="preserve"> of proportionate liability raised by Mr Potts should have been upheld.</w:t>
      </w:r>
    </w:p>
    <w:p w14:paraId="7389856A" w14:textId="77777777" w:rsidR="00D35EE5" w:rsidRDefault="00D35EE5" w:rsidP="00D35EE5">
      <w:pPr>
        <w:shd w:val="clear" w:color="auto" w:fill="FFFFFF"/>
        <w:jc w:val="both"/>
        <w:rPr>
          <w:rFonts w:cs="Arial"/>
          <w:szCs w:val="24"/>
        </w:rPr>
      </w:pPr>
    </w:p>
    <w:p w14:paraId="7DD01FC7" w14:textId="6E3E55F3" w:rsidR="00D35EE5" w:rsidRDefault="00D35EE5" w:rsidP="00D35EE5">
      <w:pPr>
        <w:shd w:val="clear" w:color="auto" w:fill="FFFFFF"/>
        <w:jc w:val="both"/>
        <w:rPr>
          <w:rFonts w:cs="Arial"/>
          <w:szCs w:val="24"/>
        </w:rPr>
      </w:pPr>
      <w:r>
        <w:rPr>
          <w:rFonts w:cs="Arial"/>
          <w:szCs w:val="24"/>
        </w:rPr>
        <w:t xml:space="preserve">The Court of Appeal (Leeming and Kirk JJA and </w:t>
      </w:r>
      <w:proofErr w:type="spellStart"/>
      <w:r>
        <w:rPr>
          <w:rFonts w:cs="Arial"/>
          <w:szCs w:val="24"/>
        </w:rPr>
        <w:t>Basten</w:t>
      </w:r>
      <w:proofErr w:type="spellEnd"/>
      <w:r>
        <w:rPr>
          <w:rFonts w:cs="Arial"/>
          <w:szCs w:val="24"/>
        </w:rPr>
        <w:t xml:space="preserve"> AJA) unanimously allowed DSH’s appeal in part and dismissed Mr Potts’ appeal.  In DSH’s appeal, </w:t>
      </w:r>
      <w:r w:rsidR="00783533">
        <w:rPr>
          <w:rFonts w:cs="Arial"/>
          <w:szCs w:val="24"/>
        </w:rPr>
        <w:br/>
      </w:r>
      <w:r>
        <w:rPr>
          <w:rFonts w:cs="Arial"/>
          <w:szCs w:val="24"/>
        </w:rPr>
        <w:t xml:space="preserve">their </w:t>
      </w:r>
      <w:proofErr w:type="spellStart"/>
      <w:r>
        <w:rPr>
          <w:rFonts w:cs="Arial"/>
          <w:szCs w:val="24"/>
        </w:rPr>
        <w:t>Honours</w:t>
      </w:r>
      <w:proofErr w:type="spellEnd"/>
      <w:r>
        <w:rPr>
          <w:rFonts w:cs="Arial"/>
          <w:szCs w:val="24"/>
        </w:rPr>
        <w:t xml:space="preserve"> held that Ball J ought to have found that Mr </w:t>
      </w:r>
      <w:proofErr w:type="spellStart"/>
      <w:r>
        <w:rPr>
          <w:rFonts w:cs="Arial"/>
          <w:szCs w:val="24"/>
        </w:rPr>
        <w:t>Abboud</w:t>
      </w:r>
      <w:proofErr w:type="spellEnd"/>
      <w:r>
        <w:rPr>
          <w:rFonts w:cs="Arial"/>
          <w:szCs w:val="24"/>
        </w:rPr>
        <w:t xml:space="preserve"> too, </w:t>
      </w:r>
      <w:r w:rsidR="00783533">
        <w:rPr>
          <w:rFonts w:cs="Arial"/>
          <w:szCs w:val="24"/>
        </w:rPr>
        <w:br/>
      </w:r>
      <w:r>
        <w:rPr>
          <w:rFonts w:cs="Arial"/>
          <w:szCs w:val="24"/>
        </w:rPr>
        <w:t xml:space="preserve">had contravened s 180 of the Act by voting in </w:t>
      </w:r>
      <w:proofErr w:type="spellStart"/>
      <w:r>
        <w:rPr>
          <w:rFonts w:cs="Arial"/>
          <w:szCs w:val="24"/>
        </w:rPr>
        <w:t>favour</w:t>
      </w:r>
      <w:proofErr w:type="spellEnd"/>
      <w:r>
        <w:rPr>
          <w:rFonts w:cs="Arial"/>
          <w:szCs w:val="24"/>
        </w:rPr>
        <w:t xml:space="preserve"> of the resolution for payment of the Dividend, and “but for” causation had been established such that DSH had suffered damage for the purpose of s 1317H of the Act.  The damage suffered was the paying out of money which would not otherwise have been paid out.  The Court of Appeal considered that Ball J had erred by proceeding on the basis that a contravention of s 254T of the Act (which prohibits the payment of dividends unless, relevantly, the payment does not materially prejudice a company’s ability to pay its creditors) was necessary for a finding that </w:t>
      </w:r>
      <w:proofErr w:type="spellStart"/>
      <w:r>
        <w:rPr>
          <w:rFonts w:cs="Arial"/>
          <w:szCs w:val="24"/>
        </w:rPr>
        <w:t>Messrs</w:t>
      </w:r>
      <w:proofErr w:type="spellEnd"/>
      <w:r>
        <w:rPr>
          <w:rFonts w:cs="Arial"/>
          <w:szCs w:val="24"/>
        </w:rPr>
        <w:t xml:space="preserve"> Potts and </w:t>
      </w:r>
      <w:proofErr w:type="spellStart"/>
      <w:r>
        <w:rPr>
          <w:rFonts w:cs="Arial"/>
          <w:szCs w:val="24"/>
        </w:rPr>
        <w:t>Abboud</w:t>
      </w:r>
      <w:proofErr w:type="spellEnd"/>
      <w:r>
        <w:rPr>
          <w:rFonts w:cs="Arial"/>
          <w:szCs w:val="24"/>
        </w:rPr>
        <w:t xml:space="preserve"> had contravened their s 180 duty on account of having exposed DSH to a </w:t>
      </w:r>
      <w:r w:rsidRPr="0009320E">
        <w:rPr>
          <w:rFonts w:cs="Arial"/>
          <w:i/>
          <w:iCs/>
          <w:szCs w:val="24"/>
        </w:rPr>
        <w:t>risk</w:t>
      </w:r>
      <w:r>
        <w:rPr>
          <w:rFonts w:cs="Arial"/>
          <w:szCs w:val="24"/>
        </w:rPr>
        <w:t xml:space="preserve"> of contravening s 254T.  The Court of Appeal set aside certain orders made by Ball J, and in lieu gave judgment against Mr Potts and Mr </w:t>
      </w:r>
      <w:proofErr w:type="spellStart"/>
      <w:r>
        <w:rPr>
          <w:rFonts w:cs="Arial"/>
          <w:szCs w:val="24"/>
        </w:rPr>
        <w:t>Abboud</w:t>
      </w:r>
      <w:proofErr w:type="spellEnd"/>
      <w:r>
        <w:rPr>
          <w:rFonts w:cs="Arial"/>
          <w:szCs w:val="24"/>
        </w:rPr>
        <w:t xml:space="preserve"> in the sum of </w:t>
      </w:r>
      <w:r w:rsidR="00783533">
        <w:rPr>
          <w:rFonts w:cs="Arial"/>
          <w:szCs w:val="24"/>
        </w:rPr>
        <w:br/>
      </w:r>
      <w:r>
        <w:rPr>
          <w:rFonts w:cs="Arial"/>
          <w:szCs w:val="24"/>
        </w:rPr>
        <w:t xml:space="preserve">$11.826 million. </w:t>
      </w:r>
    </w:p>
    <w:p w14:paraId="34600144" w14:textId="77777777" w:rsidR="00D35EE5" w:rsidRDefault="00D35EE5" w:rsidP="00D35EE5">
      <w:pPr>
        <w:shd w:val="clear" w:color="auto" w:fill="FFFFFF"/>
        <w:jc w:val="both"/>
        <w:rPr>
          <w:rFonts w:cs="Arial"/>
          <w:szCs w:val="24"/>
        </w:rPr>
      </w:pPr>
    </w:p>
    <w:p w14:paraId="621D5DCD" w14:textId="6E77CE50" w:rsidR="00D35EE5" w:rsidRDefault="00D35EE5" w:rsidP="00D35EE5">
      <w:pPr>
        <w:shd w:val="clear" w:color="auto" w:fill="FFFFFF"/>
        <w:jc w:val="both"/>
        <w:rPr>
          <w:rFonts w:cs="Arial"/>
          <w:szCs w:val="24"/>
        </w:rPr>
      </w:pPr>
      <w:r>
        <w:rPr>
          <w:rFonts w:cs="Arial"/>
          <w:szCs w:val="24"/>
        </w:rPr>
        <w:t xml:space="preserve">In dismissing Mr Potts’ appeal, the Court of Appeal held that the findings made by Ball J as to Mr Potts’ liability for misleading conduct must be upheld, despite his </w:t>
      </w:r>
      <w:proofErr w:type="spellStart"/>
      <w:r>
        <w:rPr>
          <w:rFonts w:cs="Arial"/>
          <w:szCs w:val="24"/>
        </w:rPr>
        <w:t>Honour</w:t>
      </w:r>
      <w:proofErr w:type="spellEnd"/>
      <w:r>
        <w:rPr>
          <w:rFonts w:cs="Arial"/>
          <w:szCs w:val="24"/>
        </w:rPr>
        <w:t xml:space="preserve"> having not carried out an assessment of the </w:t>
      </w:r>
      <w:proofErr w:type="spellStart"/>
      <w:r>
        <w:rPr>
          <w:rFonts w:cs="Arial"/>
          <w:szCs w:val="24"/>
        </w:rPr>
        <w:t>defence</w:t>
      </w:r>
      <w:proofErr w:type="spellEnd"/>
      <w:r>
        <w:rPr>
          <w:rFonts w:cs="Arial"/>
          <w:szCs w:val="24"/>
        </w:rPr>
        <w:t xml:space="preserve"> of proportionate liability raised by Mr Potts.  This was in view of the absence of any finding that officers of DSH other than Mr Potts had breached their duties and had failed to disclose material information to NAB such that DSH could be held liable as a concurrent wrongdoer by having breached the Warranty.  NAB had sought to go behind public statements made by DSH, but it was Mr Potts who had then failed to disclose material information to NAB’s representatives. </w:t>
      </w:r>
    </w:p>
    <w:p w14:paraId="1BA461FC" w14:textId="77777777" w:rsidR="00D35EE5" w:rsidRDefault="00D35EE5" w:rsidP="00D35EE5">
      <w:pPr>
        <w:shd w:val="clear" w:color="auto" w:fill="FFFFFF"/>
        <w:jc w:val="both"/>
        <w:rPr>
          <w:rFonts w:cs="Arial"/>
          <w:szCs w:val="24"/>
        </w:rPr>
      </w:pPr>
    </w:p>
    <w:p w14:paraId="0C4FB23A" w14:textId="77777777" w:rsidR="00D35EE5" w:rsidRDefault="00D35EE5" w:rsidP="00D35EE5">
      <w:pPr>
        <w:shd w:val="clear" w:color="auto" w:fill="FFFFFF"/>
        <w:spacing w:after="180"/>
        <w:jc w:val="both"/>
        <w:rPr>
          <w:rFonts w:cs="Arial"/>
          <w:szCs w:val="24"/>
        </w:rPr>
      </w:pPr>
      <w:r>
        <w:rPr>
          <w:rFonts w:cs="Arial"/>
          <w:szCs w:val="24"/>
        </w:rPr>
        <w:t>The</w:t>
      </w:r>
      <w:r w:rsidRPr="00B754DB">
        <w:rPr>
          <w:rFonts w:cs="Arial"/>
          <w:szCs w:val="24"/>
        </w:rPr>
        <w:t xml:space="preserve"> ground of appeal </w:t>
      </w:r>
      <w:r>
        <w:rPr>
          <w:rFonts w:cs="Arial"/>
          <w:szCs w:val="24"/>
        </w:rPr>
        <w:t xml:space="preserve">of Mr Potts and Mr </w:t>
      </w:r>
      <w:proofErr w:type="spellStart"/>
      <w:r>
        <w:rPr>
          <w:rFonts w:cs="Arial"/>
          <w:szCs w:val="24"/>
        </w:rPr>
        <w:t>Abboud</w:t>
      </w:r>
      <w:proofErr w:type="spellEnd"/>
      <w:r>
        <w:rPr>
          <w:rFonts w:cs="Arial"/>
          <w:szCs w:val="24"/>
        </w:rPr>
        <w:t xml:space="preserve"> in S47/2023 is</w:t>
      </w:r>
      <w:r w:rsidRPr="00B754DB">
        <w:rPr>
          <w:rFonts w:cs="Arial"/>
          <w:szCs w:val="24"/>
        </w:rPr>
        <w:t>:</w:t>
      </w:r>
    </w:p>
    <w:p w14:paraId="68751EF4" w14:textId="77777777" w:rsidR="00D35EE5" w:rsidRDefault="00D35EE5" w:rsidP="00D35EE5">
      <w:pPr>
        <w:numPr>
          <w:ilvl w:val="0"/>
          <w:numId w:val="10"/>
        </w:numPr>
        <w:autoSpaceDE w:val="0"/>
        <w:autoSpaceDN w:val="0"/>
        <w:adjustRightInd w:val="0"/>
        <w:ind w:left="425" w:hanging="425"/>
        <w:jc w:val="both"/>
        <w:rPr>
          <w:rFonts w:cs="Arial"/>
          <w:szCs w:val="24"/>
        </w:rPr>
      </w:pPr>
      <w:r>
        <w:rPr>
          <w:rFonts w:cs="Arial"/>
          <w:szCs w:val="24"/>
        </w:rPr>
        <w:t>The Court of Appeal erred in finding that the payment by DSH of a dividend of $11.826 million on 30 September 2015 was, within the meaning of s 1317H of the Act, “damage suffered by the corporation … [which] resulted from the contravention” of s 180 which the Court found to be established.</w:t>
      </w:r>
    </w:p>
    <w:p w14:paraId="70316635" w14:textId="77777777" w:rsidR="00D35EE5" w:rsidRDefault="00D35EE5" w:rsidP="00D35EE5">
      <w:pPr>
        <w:autoSpaceDE w:val="0"/>
        <w:autoSpaceDN w:val="0"/>
        <w:adjustRightInd w:val="0"/>
        <w:jc w:val="both"/>
        <w:rPr>
          <w:rFonts w:cs="Arial"/>
          <w:szCs w:val="24"/>
        </w:rPr>
      </w:pPr>
    </w:p>
    <w:p w14:paraId="670C791F" w14:textId="77777777" w:rsidR="00D35EE5" w:rsidRDefault="00D35EE5" w:rsidP="00D35EE5">
      <w:pPr>
        <w:shd w:val="clear" w:color="auto" w:fill="FFFFFF"/>
        <w:spacing w:after="180"/>
        <w:jc w:val="both"/>
        <w:rPr>
          <w:rFonts w:cs="Arial"/>
          <w:szCs w:val="24"/>
        </w:rPr>
      </w:pPr>
      <w:r>
        <w:rPr>
          <w:rFonts w:cs="Arial"/>
          <w:szCs w:val="24"/>
        </w:rPr>
        <w:t>Mr Potts’</w:t>
      </w:r>
      <w:r w:rsidRPr="00B754DB">
        <w:rPr>
          <w:rFonts w:cs="Arial"/>
          <w:szCs w:val="24"/>
        </w:rPr>
        <w:t xml:space="preserve"> ground of appeal</w:t>
      </w:r>
      <w:r>
        <w:rPr>
          <w:rFonts w:cs="Arial"/>
          <w:szCs w:val="24"/>
        </w:rPr>
        <w:t xml:space="preserve"> in S48/2023</w:t>
      </w:r>
      <w:r w:rsidRPr="00B754DB">
        <w:rPr>
          <w:rFonts w:cs="Arial"/>
          <w:szCs w:val="24"/>
        </w:rPr>
        <w:t xml:space="preserve"> i</w:t>
      </w:r>
      <w:r>
        <w:rPr>
          <w:rFonts w:cs="Arial"/>
          <w:szCs w:val="24"/>
        </w:rPr>
        <w:t>s</w:t>
      </w:r>
      <w:r w:rsidRPr="00B754DB">
        <w:rPr>
          <w:rFonts w:cs="Arial"/>
          <w:szCs w:val="24"/>
        </w:rPr>
        <w:t>:</w:t>
      </w:r>
    </w:p>
    <w:p w14:paraId="648F95BE" w14:textId="5DF03856" w:rsidR="00D35EE5" w:rsidRDefault="00D35EE5" w:rsidP="00D35EE5">
      <w:pPr>
        <w:numPr>
          <w:ilvl w:val="0"/>
          <w:numId w:val="10"/>
        </w:numPr>
        <w:autoSpaceDE w:val="0"/>
        <w:autoSpaceDN w:val="0"/>
        <w:adjustRightInd w:val="0"/>
        <w:ind w:left="425" w:hanging="425"/>
        <w:jc w:val="both"/>
        <w:rPr>
          <w:rFonts w:cs="Arial"/>
          <w:szCs w:val="24"/>
        </w:rPr>
      </w:pPr>
      <w:r>
        <w:rPr>
          <w:rFonts w:cs="Arial"/>
          <w:szCs w:val="24"/>
        </w:rPr>
        <w:t>The Court of Appeal erred in finding that Mr Potts failed to establish that DSH was a concurrent wrongdoer for the purposes of the proportionate liability provisions relied upon by Mr Potts.</w:t>
      </w:r>
    </w:p>
    <w:p w14:paraId="63AE2530" w14:textId="2AD59C7F" w:rsidR="002F170E" w:rsidRDefault="002F170E" w:rsidP="002F170E">
      <w:pPr>
        <w:autoSpaceDE w:val="0"/>
        <w:autoSpaceDN w:val="0"/>
        <w:adjustRightInd w:val="0"/>
        <w:jc w:val="both"/>
        <w:rPr>
          <w:rFonts w:cs="Arial"/>
          <w:szCs w:val="24"/>
        </w:rPr>
      </w:pPr>
    </w:p>
    <w:p w14:paraId="5FE189DA" w14:textId="6A72689A" w:rsidR="002F170E" w:rsidRDefault="002F170E">
      <w:pPr>
        <w:rPr>
          <w:rFonts w:cs="Arial"/>
          <w:szCs w:val="24"/>
        </w:rPr>
      </w:pPr>
      <w:r>
        <w:rPr>
          <w:rFonts w:cs="Arial"/>
          <w:szCs w:val="24"/>
        </w:rPr>
        <w:br w:type="page"/>
      </w:r>
    </w:p>
    <w:p w14:paraId="3D51F70E" w14:textId="77777777" w:rsidR="001C44EC" w:rsidRPr="00BC4343" w:rsidRDefault="001C44EC" w:rsidP="001C44EC">
      <w:pPr>
        <w:rPr>
          <w:sz w:val="28"/>
          <w:szCs w:val="28"/>
        </w:rPr>
      </w:pPr>
      <w:r>
        <w:rPr>
          <w:b/>
          <w:sz w:val="28"/>
          <w:szCs w:val="28"/>
          <w:u w:val="single"/>
        </w:rPr>
        <w:lastRenderedPageBreak/>
        <w:t>THE KING</w:t>
      </w:r>
      <w:r w:rsidRPr="00F46180">
        <w:rPr>
          <w:b/>
          <w:sz w:val="28"/>
          <w:szCs w:val="28"/>
          <w:u w:val="single"/>
        </w:rPr>
        <w:t xml:space="preserve"> v </w:t>
      </w:r>
      <w:r>
        <w:rPr>
          <w:b/>
          <w:sz w:val="28"/>
          <w:szCs w:val="28"/>
          <w:u w:val="single"/>
        </w:rPr>
        <w:t>ROHAN (A PSEUDONYM)</w:t>
      </w:r>
      <w:r>
        <w:rPr>
          <w:b/>
          <w:sz w:val="28"/>
          <w:szCs w:val="28"/>
        </w:rPr>
        <w:t xml:space="preserve"> (M33/2023)</w:t>
      </w:r>
    </w:p>
    <w:p w14:paraId="0C7FBB1E" w14:textId="77777777" w:rsidR="001C44EC" w:rsidRPr="00E5208F" w:rsidRDefault="001C44EC" w:rsidP="001C44EC">
      <w:pPr>
        <w:rPr>
          <w:szCs w:val="24"/>
        </w:rPr>
      </w:pPr>
    </w:p>
    <w:p w14:paraId="1B3A1803" w14:textId="77777777" w:rsidR="001C44EC" w:rsidRDefault="001C44EC" w:rsidP="001C44EC">
      <w:pPr>
        <w:tabs>
          <w:tab w:val="left" w:pos="3119"/>
        </w:tabs>
        <w:rPr>
          <w:szCs w:val="24"/>
        </w:rPr>
      </w:pPr>
      <w:r>
        <w:rPr>
          <w:szCs w:val="24"/>
          <w:u w:val="single"/>
        </w:rPr>
        <w:t>Court appealed from</w:t>
      </w:r>
      <w:r>
        <w:rPr>
          <w:szCs w:val="24"/>
        </w:rPr>
        <w:t>:</w:t>
      </w:r>
      <w:r>
        <w:rPr>
          <w:szCs w:val="24"/>
        </w:rPr>
        <w:tab/>
        <w:t>Supreme Court of Victoria Court of Appeal</w:t>
      </w:r>
    </w:p>
    <w:p w14:paraId="1EB7E1B7" w14:textId="243AD83F" w:rsidR="001C44EC" w:rsidRDefault="001C44EC" w:rsidP="007A037B">
      <w:pPr>
        <w:tabs>
          <w:tab w:val="left" w:pos="3119"/>
        </w:tabs>
        <w:rPr>
          <w:szCs w:val="24"/>
        </w:rPr>
      </w:pPr>
      <w:r>
        <w:rPr>
          <w:szCs w:val="24"/>
        </w:rPr>
        <w:tab/>
        <w:t>[2022] VSCA 215</w:t>
      </w:r>
    </w:p>
    <w:p w14:paraId="0F5AECEB" w14:textId="77777777" w:rsidR="001C44EC" w:rsidRPr="00E5208F" w:rsidRDefault="001C44EC" w:rsidP="001C44EC">
      <w:pPr>
        <w:rPr>
          <w:szCs w:val="24"/>
        </w:rPr>
      </w:pPr>
    </w:p>
    <w:p w14:paraId="2E3FB921" w14:textId="77777777" w:rsidR="001C44EC" w:rsidRDefault="001C44EC" w:rsidP="001C44EC">
      <w:pPr>
        <w:tabs>
          <w:tab w:val="left" w:pos="3119"/>
        </w:tabs>
        <w:rPr>
          <w:szCs w:val="24"/>
        </w:rPr>
      </w:pPr>
      <w:r>
        <w:rPr>
          <w:szCs w:val="24"/>
          <w:u w:val="single"/>
        </w:rPr>
        <w:t>Date of judgment</w:t>
      </w:r>
      <w:r>
        <w:rPr>
          <w:szCs w:val="24"/>
        </w:rPr>
        <w:t>:</w:t>
      </w:r>
      <w:r>
        <w:rPr>
          <w:szCs w:val="24"/>
        </w:rPr>
        <w:tab/>
        <w:t>4 October 2022</w:t>
      </w:r>
    </w:p>
    <w:p w14:paraId="5DAE04F2" w14:textId="77777777" w:rsidR="001C44EC" w:rsidRDefault="001C44EC" w:rsidP="001C44EC">
      <w:pPr>
        <w:tabs>
          <w:tab w:val="left" w:pos="3969"/>
        </w:tabs>
        <w:rPr>
          <w:szCs w:val="24"/>
        </w:rPr>
      </w:pPr>
    </w:p>
    <w:p w14:paraId="7800AF92" w14:textId="77777777" w:rsidR="001C44EC" w:rsidRDefault="001C44EC" w:rsidP="001C44EC">
      <w:pPr>
        <w:tabs>
          <w:tab w:val="left" w:pos="3119"/>
        </w:tabs>
        <w:rPr>
          <w:szCs w:val="24"/>
        </w:rPr>
      </w:pPr>
      <w:r w:rsidRPr="008756A3">
        <w:rPr>
          <w:szCs w:val="24"/>
          <w:u w:val="single"/>
        </w:rPr>
        <w:t>Special leave granted</w:t>
      </w:r>
      <w:r w:rsidRPr="0090099A">
        <w:rPr>
          <w:szCs w:val="24"/>
        </w:rPr>
        <w:t>:</w:t>
      </w:r>
      <w:r>
        <w:rPr>
          <w:szCs w:val="24"/>
        </w:rPr>
        <w:tab/>
        <w:t>19 May 2023</w:t>
      </w:r>
    </w:p>
    <w:p w14:paraId="4D5C7750" w14:textId="0EE41E26"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r w:rsidRPr="00C82096">
        <w:rPr>
          <w:rFonts w:ascii="Arial" w:hAnsi="Arial" w:cs="Arial"/>
          <w:iCs/>
          <w:szCs w:val="20"/>
          <w:lang w:val="en-US"/>
        </w:rPr>
        <w:br/>
      </w:r>
      <w:r>
        <w:rPr>
          <w:rFonts w:ascii="Arial" w:hAnsi="Arial" w:cs="Arial"/>
          <w:iCs/>
          <w:szCs w:val="20"/>
          <w:lang w:val="en-US"/>
        </w:rPr>
        <w:t xml:space="preserve">In </w:t>
      </w:r>
      <w:r w:rsidRPr="007A61E9">
        <w:rPr>
          <w:rFonts w:ascii="Arial" w:hAnsi="Arial" w:cs="Arial"/>
          <w:iCs/>
          <w:szCs w:val="20"/>
          <w:lang w:val="en-US"/>
        </w:rPr>
        <w:t xml:space="preserve">April 2021, after a trial by jury, the </w:t>
      </w:r>
      <w:r>
        <w:rPr>
          <w:rFonts w:ascii="Arial" w:hAnsi="Arial" w:cs="Arial"/>
          <w:iCs/>
          <w:szCs w:val="20"/>
          <w:lang w:val="en-US"/>
        </w:rPr>
        <w:t>Respondent</w:t>
      </w:r>
      <w:r w:rsidRPr="007A61E9">
        <w:rPr>
          <w:rFonts w:ascii="Arial" w:hAnsi="Arial" w:cs="Arial"/>
          <w:iCs/>
          <w:szCs w:val="20"/>
          <w:lang w:val="en-US"/>
        </w:rPr>
        <w:t xml:space="preserve"> </w:t>
      </w:r>
      <w:r>
        <w:rPr>
          <w:rFonts w:ascii="Arial" w:hAnsi="Arial" w:cs="Arial"/>
          <w:iCs/>
          <w:szCs w:val="20"/>
          <w:lang w:val="en-US"/>
        </w:rPr>
        <w:t>and two co-accused were all convicted</w:t>
      </w:r>
      <w:r w:rsidRPr="007A61E9">
        <w:rPr>
          <w:rFonts w:ascii="Arial" w:hAnsi="Arial" w:cs="Arial"/>
          <w:iCs/>
          <w:szCs w:val="20"/>
          <w:lang w:val="en-US"/>
        </w:rPr>
        <w:t xml:space="preserve"> of </w:t>
      </w:r>
      <w:r>
        <w:rPr>
          <w:rFonts w:ascii="Arial" w:hAnsi="Arial" w:cs="Arial"/>
          <w:iCs/>
          <w:szCs w:val="20"/>
          <w:lang w:val="en-US"/>
        </w:rPr>
        <w:t>11</w:t>
      </w:r>
      <w:r w:rsidRPr="007A61E9">
        <w:rPr>
          <w:rFonts w:ascii="Arial" w:hAnsi="Arial" w:cs="Arial"/>
          <w:iCs/>
          <w:szCs w:val="20"/>
          <w:lang w:val="en-US"/>
        </w:rPr>
        <w:t xml:space="preserve"> </w:t>
      </w:r>
      <w:r>
        <w:rPr>
          <w:rFonts w:ascii="Arial" w:hAnsi="Arial" w:cs="Arial"/>
          <w:iCs/>
          <w:szCs w:val="20"/>
          <w:lang w:val="en-US"/>
        </w:rPr>
        <w:t>offences:</w:t>
      </w:r>
      <w:r w:rsidRPr="007A61E9">
        <w:rPr>
          <w:rFonts w:ascii="Arial" w:hAnsi="Arial" w:cs="Arial"/>
          <w:iCs/>
          <w:szCs w:val="20"/>
          <w:lang w:val="en-US"/>
        </w:rPr>
        <w:t xml:space="preserve"> </w:t>
      </w:r>
      <w:r>
        <w:rPr>
          <w:rFonts w:ascii="Arial" w:hAnsi="Arial" w:cs="Arial"/>
          <w:iCs/>
          <w:szCs w:val="20"/>
          <w:lang w:val="en-US"/>
        </w:rPr>
        <w:t xml:space="preserve">the supply of drugs to a child (charges 1 and 2); </w:t>
      </w:r>
      <w:r w:rsidR="008F5416">
        <w:rPr>
          <w:rFonts w:ascii="Arial" w:hAnsi="Arial" w:cs="Arial"/>
          <w:iCs/>
          <w:szCs w:val="20"/>
          <w:lang w:val="en-US"/>
        </w:rPr>
        <w:br/>
      </w:r>
      <w:r>
        <w:rPr>
          <w:rFonts w:ascii="Arial" w:hAnsi="Arial" w:cs="Arial"/>
          <w:iCs/>
          <w:szCs w:val="20"/>
          <w:lang w:val="en-US"/>
        </w:rPr>
        <w:t>sexual assault of a child under 16 (charges 5 and 14); and sexual penetration of a child under 12 (charges 3, 4, 6, 7, 8, 9 and 13)</w:t>
      </w:r>
      <w:r w:rsidRPr="007A61E9">
        <w:rPr>
          <w:rFonts w:ascii="Arial" w:hAnsi="Arial" w:cs="Arial"/>
          <w:iCs/>
          <w:szCs w:val="20"/>
          <w:lang w:val="en-US"/>
        </w:rPr>
        <w:t>.</w:t>
      </w:r>
      <w:r>
        <w:rPr>
          <w:rFonts w:ascii="Arial" w:hAnsi="Arial" w:cs="Arial"/>
          <w:iCs/>
          <w:szCs w:val="20"/>
          <w:lang w:val="en-US"/>
        </w:rPr>
        <w:t xml:space="preserve">  The Respondent was then sentenced to imprisonment for 11 years and 4 months, with a non-parole period of 6 years and 9 months. </w:t>
      </w:r>
    </w:p>
    <w:p w14:paraId="6F5A1AE4" w14:textId="77777777"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p>
    <w:p w14:paraId="6EC68D11" w14:textId="77777777" w:rsidR="001C44EC" w:rsidRDefault="001C44EC" w:rsidP="001C44EC">
      <w:pPr>
        <w:pStyle w:val="NormalWeb"/>
        <w:shd w:val="clear" w:color="auto" w:fill="FFFFFF" w:themeFill="background1"/>
        <w:spacing w:before="0" w:beforeAutospacing="0" w:after="0" w:afterAutospacing="0"/>
        <w:jc w:val="both"/>
        <w:rPr>
          <w:rFonts w:cs="Arial"/>
          <w:iCs/>
        </w:rPr>
      </w:pPr>
      <w:r>
        <w:rPr>
          <w:rFonts w:ascii="Arial" w:hAnsi="Arial" w:cs="Arial"/>
          <w:iCs/>
          <w:szCs w:val="20"/>
          <w:lang w:val="en-US"/>
        </w:rPr>
        <w:t xml:space="preserve">The prosecution case against the Respondent and his co-accused, was that the three men had reached an agreement or understanding that they would supply cannabis to the complainants, two girls </w:t>
      </w:r>
      <w:r w:rsidRPr="007A61E9">
        <w:rPr>
          <w:rFonts w:ascii="Arial" w:hAnsi="Arial" w:cs="Arial"/>
          <w:iCs/>
          <w:szCs w:val="20"/>
          <w:lang w:val="en-US"/>
        </w:rPr>
        <w:t>aged 11 and 12</w:t>
      </w:r>
      <w:r>
        <w:rPr>
          <w:rFonts w:ascii="Arial" w:hAnsi="Arial" w:cs="Arial"/>
          <w:iCs/>
          <w:szCs w:val="20"/>
          <w:lang w:val="en-US"/>
        </w:rPr>
        <w:t xml:space="preserve"> (respectively, “Daisy” and “Katie”)</w:t>
      </w:r>
      <w:r w:rsidRPr="007A61E9">
        <w:rPr>
          <w:rFonts w:ascii="Arial" w:hAnsi="Arial" w:cs="Arial"/>
          <w:iCs/>
          <w:szCs w:val="20"/>
          <w:lang w:val="en-US"/>
        </w:rPr>
        <w:t>,</w:t>
      </w:r>
      <w:r>
        <w:rPr>
          <w:rFonts w:ascii="Arial" w:hAnsi="Arial" w:cs="Arial"/>
          <w:iCs/>
          <w:szCs w:val="20"/>
          <w:lang w:val="en-US"/>
        </w:rPr>
        <w:t xml:space="preserve"> and then engage in sexual activity with them.</w:t>
      </w:r>
      <w:r>
        <w:rPr>
          <w:rFonts w:cs="Arial"/>
          <w:iCs/>
        </w:rPr>
        <w:t xml:space="preserve"> </w:t>
      </w:r>
    </w:p>
    <w:p w14:paraId="521EC946" w14:textId="77777777" w:rsidR="001C44EC" w:rsidRPr="003F1AD7" w:rsidRDefault="001C44EC" w:rsidP="001C44EC">
      <w:pPr>
        <w:pStyle w:val="NormalWeb"/>
        <w:shd w:val="clear" w:color="auto" w:fill="FFFFFF" w:themeFill="background1"/>
        <w:spacing w:before="0" w:beforeAutospacing="0" w:after="0" w:afterAutospacing="0"/>
        <w:jc w:val="both"/>
        <w:rPr>
          <w:rFonts w:ascii="Arial" w:hAnsi="Arial" w:cs="Arial"/>
          <w:iCs/>
          <w:color w:val="BFBFBF" w:themeColor="background1" w:themeShade="BF"/>
          <w:szCs w:val="20"/>
          <w:lang w:val="en-US"/>
        </w:rPr>
      </w:pPr>
    </w:p>
    <w:p w14:paraId="021C6544" w14:textId="35F6CD57" w:rsidR="001C44EC" w:rsidRDefault="001C44EC" w:rsidP="001C44EC">
      <w:pPr>
        <w:tabs>
          <w:tab w:val="left" w:pos="3969"/>
        </w:tabs>
        <w:jc w:val="both"/>
        <w:rPr>
          <w:rFonts w:cs="Arial"/>
          <w:iCs/>
        </w:rPr>
      </w:pPr>
      <w:r>
        <w:rPr>
          <w:rFonts w:cs="Arial"/>
          <w:iCs/>
        </w:rPr>
        <w:t xml:space="preserve">In respect of charges 1, 2, 3, 7, 8 and 9, the case against the Respondent was that he was complicit and was not the principal offender.  Statutory provisions applicable to complicity included section 323(1)(c) of the </w:t>
      </w:r>
      <w:r w:rsidRPr="008E30B6">
        <w:rPr>
          <w:rFonts w:cs="Arial"/>
          <w:i/>
        </w:rPr>
        <w:t>Crimes Act 1958</w:t>
      </w:r>
      <w:r>
        <w:rPr>
          <w:rFonts w:cs="Arial"/>
          <w:iCs/>
        </w:rPr>
        <w:t xml:space="preserve"> (Vic) (“the Act”), which provided that a person was involved in the commission of an offence </w:t>
      </w:r>
      <w:r w:rsidR="007C27A2">
        <w:rPr>
          <w:rFonts w:cs="Arial"/>
          <w:iCs/>
        </w:rPr>
        <w:br/>
      </w:r>
      <w:r>
        <w:rPr>
          <w:rFonts w:cs="Arial"/>
          <w:iCs/>
        </w:rPr>
        <w:t>“</w:t>
      </w:r>
      <w:r w:rsidRPr="001B5D58">
        <w:rPr>
          <w:rFonts w:cs="Arial"/>
          <w:iCs/>
        </w:rPr>
        <w:t>if the person enters into an agreement, arrangement or understanding with another person to commit the offence</w:t>
      </w:r>
      <w:r>
        <w:rPr>
          <w:rFonts w:cs="Arial"/>
          <w:iCs/>
        </w:rPr>
        <w:t>”, and s 324(1) of the Act, which provided that a person involved in the commission of an offence was taken to have committed the offence and was liable to the maximum penalty for the offence.</w:t>
      </w:r>
    </w:p>
    <w:p w14:paraId="16658539" w14:textId="77777777" w:rsidR="001C44EC" w:rsidRDefault="001C44EC" w:rsidP="001C44EC">
      <w:pPr>
        <w:tabs>
          <w:tab w:val="left" w:pos="3969"/>
        </w:tabs>
        <w:jc w:val="both"/>
        <w:rPr>
          <w:rFonts w:cs="Arial"/>
          <w:iCs/>
        </w:rPr>
      </w:pPr>
    </w:p>
    <w:p w14:paraId="4FB492EE" w14:textId="77777777" w:rsidR="001C44EC" w:rsidRDefault="001C44EC" w:rsidP="001C44EC">
      <w:pPr>
        <w:tabs>
          <w:tab w:val="left" w:pos="3969"/>
        </w:tabs>
        <w:jc w:val="both"/>
        <w:rPr>
          <w:rFonts w:cs="Arial"/>
          <w:iCs/>
        </w:rPr>
      </w:pPr>
      <w:r>
        <w:rPr>
          <w:rFonts w:cs="Arial"/>
          <w:iCs/>
        </w:rPr>
        <w:t xml:space="preserve">None of the charged offences included an element of the alleged offender’s knowledge of the victim’s age, and the trial judge, Judge Carlin, did not direct the jury that the prosecution was required to prove that the Respondent knew that the girls were underage.  </w:t>
      </w:r>
    </w:p>
    <w:p w14:paraId="5D75A048" w14:textId="77777777"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p>
    <w:p w14:paraId="0492D29C" w14:textId="2041254D"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On an appeal against his conviction on charges 1, 2, 3, 7, 8 and 9, the Respondent argued that a miscarriage of justice had occurred because, since his alleged guilt was as a secondary offender, it was necessary for the prosecution to establish that the Respondent knew that the girls were underage and that the trial judge should have directed the jury accordingly.</w:t>
      </w:r>
    </w:p>
    <w:p w14:paraId="0FA66618" w14:textId="77777777"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p>
    <w:p w14:paraId="7DA75BC4" w14:textId="260F36A3" w:rsidR="001C44EC" w:rsidRDefault="001C44EC" w:rsidP="001C44EC">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 xml:space="preserve">The Court of Appeal (Emerton P, </w:t>
      </w:r>
      <w:proofErr w:type="gramStart"/>
      <w:r>
        <w:rPr>
          <w:rFonts w:ascii="Arial" w:hAnsi="Arial" w:cs="Arial"/>
          <w:iCs/>
          <w:szCs w:val="20"/>
          <w:lang w:val="en-US"/>
        </w:rPr>
        <w:t>Kyrou</w:t>
      </w:r>
      <w:proofErr w:type="gramEnd"/>
      <w:r>
        <w:rPr>
          <w:rFonts w:ascii="Arial" w:hAnsi="Arial" w:cs="Arial"/>
          <w:iCs/>
          <w:szCs w:val="20"/>
          <w:lang w:val="en-US"/>
        </w:rPr>
        <w:t xml:space="preserve"> and Forrest JJA) unanimously allowed the Respondent’s appeal, setting aside the convictions and ordering a new trial on charges 1, 2, 3, 7, 8 and 9 (and resentencing the Respondent to imprisonment for 8 years and 6 months, with a non-parole period of 6 years).  Their </w:t>
      </w:r>
      <w:proofErr w:type="spellStart"/>
      <w:r>
        <w:rPr>
          <w:rFonts w:ascii="Arial" w:hAnsi="Arial" w:cs="Arial"/>
          <w:iCs/>
          <w:szCs w:val="20"/>
          <w:lang w:val="en-US"/>
        </w:rPr>
        <w:t>Honours</w:t>
      </w:r>
      <w:proofErr w:type="spellEnd"/>
      <w:r>
        <w:rPr>
          <w:rFonts w:ascii="Arial" w:hAnsi="Arial" w:cs="Arial"/>
          <w:iCs/>
          <w:szCs w:val="20"/>
          <w:lang w:val="en-US"/>
        </w:rPr>
        <w:t xml:space="preserve"> considered that the terms of s 323(1)(c) indicated that the substance of an agreement must be intended.  For guilt based on an intention to commit an offence, the accused’s knowledge of those facts which make the proposed conduct an offence must be proved.  The Court of Appeal held that, although knowledge of a victim’s age was not an element of the relevant offences, the age factor became an essential fact and the prosecution bore the onus of proving that the Respondent had knowledge of the complainants’ ages. </w:t>
      </w:r>
    </w:p>
    <w:p w14:paraId="30AFDEB0" w14:textId="77777777" w:rsidR="00CB71B6" w:rsidRDefault="00CB71B6" w:rsidP="001C44EC">
      <w:pPr>
        <w:pStyle w:val="NormalWeb"/>
        <w:shd w:val="clear" w:color="auto" w:fill="FFFFFF" w:themeFill="background1"/>
        <w:spacing w:before="0" w:beforeAutospacing="0" w:after="0" w:afterAutospacing="0"/>
        <w:jc w:val="both"/>
        <w:rPr>
          <w:rFonts w:ascii="Arial" w:hAnsi="Arial" w:cs="Arial"/>
          <w:iCs/>
          <w:szCs w:val="20"/>
          <w:lang w:val="en-US"/>
        </w:rPr>
      </w:pPr>
    </w:p>
    <w:p w14:paraId="18785F1F" w14:textId="77777777" w:rsidR="001C44EC" w:rsidRDefault="001C44EC" w:rsidP="001C44EC">
      <w:pPr>
        <w:shd w:val="clear" w:color="auto" w:fill="FFFFFF" w:themeFill="background1"/>
        <w:tabs>
          <w:tab w:val="left" w:pos="3969"/>
        </w:tabs>
        <w:jc w:val="both"/>
        <w:rPr>
          <w:rFonts w:cs="Arial"/>
          <w:iCs/>
        </w:rPr>
      </w:pPr>
    </w:p>
    <w:p w14:paraId="5CE5F7E9" w14:textId="77777777" w:rsidR="001C44EC" w:rsidRDefault="001C44EC" w:rsidP="001C44EC">
      <w:pPr>
        <w:shd w:val="clear" w:color="auto" w:fill="FFFFFF" w:themeFill="background1"/>
        <w:tabs>
          <w:tab w:val="left" w:pos="3969"/>
        </w:tabs>
        <w:jc w:val="both"/>
        <w:rPr>
          <w:rFonts w:cs="Arial"/>
          <w:iCs/>
        </w:rPr>
      </w:pPr>
      <w:r>
        <w:rPr>
          <w:rFonts w:cs="Arial"/>
          <w:iCs/>
        </w:rPr>
        <w:lastRenderedPageBreak/>
        <w:t>The grounds of appeal are:</w:t>
      </w:r>
    </w:p>
    <w:p w14:paraId="7D6482B4" w14:textId="77777777" w:rsidR="001C44EC" w:rsidRDefault="001C44EC" w:rsidP="001C44EC">
      <w:pPr>
        <w:shd w:val="clear" w:color="auto" w:fill="FFFFFF" w:themeFill="background1"/>
        <w:tabs>
          <w:tab w:val="left" w:pos="3969"/>
        </w:tabs>
        <w:jc w:val="both"/>
        <w:rPr>
          <w:rFonts w:cs="Arial"/>
          <w:iCs/>
        </w:rPr>
      </w:pPr>
    </w:p>
    <w:p w14:paraId="13F72429" w14:textId="58304AAF" w:rsidR="001C44EC" w:rsidRDefault="001C44EC" w:rsidP="001C44EC">
      <w:pPr>
        <w:pStyle w:val="ListParagraph"/>
        <w:numPr>
          <w:ilvl w:val="0"/>
          <w:numId w:val="11"/>
        </w:numPr>
        <w:shd w:val="clear" w:color="auto" w:fill="FFFFFF" w:themeFill="background1"/>
        <w:tabs>
          <w:tab w:val="left" w:pos="3969"/>
        </w:tabs>
        <w:rPr>
          <w:rFonts w:cs="Arial"/>
          <w:iCs/>
        </w:rPr>
      </w:pPr>
      <w:r>
        <w:rPr>
          <w:rFonts w:cs="Arial"/>
          <w:iCs/>
        </w:rPr>
        <w:t xml:space="preserve">The Court of Appeal erred by holding that the Respondent suffered a substantial miscarriage of justice on charges 1 and 2, because the jury was not directed that it had to be satisfied to the criminal standard, that the Respondent knew both “Daisy” and “Katie” were aged under 18, when he agreed with his </w:t>
      </w:r>
      <w:r w:rsidR="007C27A2">
        <w:rPr>
          <w:rFonts w:cs="Arial"/>
          <w:iCs/>
        </w:rPr>
        <w:br/>
      </w:r>
      <w:r>
        <w:rPr>
          <w:rFonts w:cs="Arial"/>
          <w:iCs/>
        </w:rPr>
        <w:t>co-offenders to supply them with drugs, where such knowledge is not an element of the offence.</w:t>
      </w:r>
    </w:p>
    <w:p w14:paraId="0B32FA9C" w14:textId="77777777" w:rsidR="001C44EC" w:rsidRPr="00245730" w:rsidRDefault="001C44EC" w:rsidP="001C44EC">
      <w:pPr>
        <w:shd w:val="clear" w:color="auto" w:fill="FFFFFF" w:themeFill="background1"/>
        <w:tabs>
          <w:tab w:val="left" w:pos="3969"/>
        </w:tabs>
        <w:ind w:left="360"/>
        <w:jc w:val="both"/>
        <w:rPr>
          <w:rFonts w:cs="Arial"/>
          <w:iCs/>
        </w:rPr>
      </w:pPr>
    </w:p>
    <w:p w14:paraId="3DC4F19D" w14:textId="129981A4" w:rsidR="001C44EC" w:rsidRPr="004D0E2B" w:rsidRDefault="001C44EC" w:rsidP="001C44EC">
      <w:pPr>
        <w:pStyle w:val="ListParagraph"/>
        <w:numPr>
          <w:ilvl w:val="0"/>
          <w:numId w:val="11"/>
        </w:numPr>
        <w:shd w:val="clear" w:color="auto" w:fill="FFFFFF" w:themeFill="background1"/>
        <w:tabs>
          <w:tab w:val="left" w:pos="3969"/>
        </w:tabs>
        <w:rPr>
          <w:rFonts w:cs="Arial"/>
          <w:iCs/>
        </w:rPr>
      </w:pPr>
      <w:r>
        <w:rPr>
          <w:rFonts w:cs="Arial"/>
          <w:iCs/>
        </w:rPr>
        <w:t xml:space="preserve">The Court of Appeal erred by holding that the Respondent suffered a substantial miscarriage of justice on charges 3, 7, 8 and 9, because the jury was not directed that it had to be satisfied to the criminal standard, that the Respondent knew “Daisy” was under 12, when he agreed with his co-offenders that they would sexually penetrate her, where such knowledge is not an element of the offence. </w:t>
      </w:r>
    </w:p>
    <w:p w14:paraId="4223D82D" w14:textId="77777777" w:rsidR="002F170E" w:rsidRPr="00C630B0" w:rsidRDefault="002F170E" w:rsidP="001C44EC">
      <w:pPr>
        <w:autoSpaceDE w:val="0"/>
        <w:autoSpaceDN w:val="0"/>
        <w:adjustRightInd w:val="0"/>
        <w:jc w:val="both"/>
        <w:rPr>
          <w:rFonts w:cs="Arial"/>
          <w:szCs w:val="24"/>
        </w:rPr>
      </w:pPr>
    </w:p>
    <w:p w14:paraId="68F515FE" w14:textId="65FEC6C0" w:rsidR="00CB71B6" w:rsidRDefault="00CB71B6">
      <w:r>
        <w:br w:type="page"/>
      </w:r>
    </w:p>
    <w:p w14:paraId="1B79AFF6" w14:textId="77777777" w:rsidR="00FE22C5" w:rsidRPr="00E5208F" w:rsidRDefault="00FE22C5" w:rsidP="00FE22C5">
      <w:pPr>
        <w:rPr>
          <w:sz w:val="28"/>
          <w:szCs w:val="28"/>
        </w:rPr>
      </w:pPr>
      <w:r>
        <w:rPr>
          <w:b/>
          <w:sz w:val="28"/>
          <w:szCs w:val="28"/>
          <w:u w:val="single"/>
        </w:rPr>
        <w:lastRenderedPageBreak/>
        <w:t>CARMICHAEL RAIL NETWORK PTY LTD AS TRUSTEE FOR THE CARMICHAEL RAIL NETWORK TRUST v BBC CHARTERING CARRIERS GMBH &amp; CO. KG &amp; ANOR</w:t>
      </w:r>
      <w:r w:rsidRPr="00E5208F">
        <w:rPr>
          <w:b/>
          <w:sz w:val="28"/>
          <w:szCs w:val="28"/>
        </w:rPr>
        <w:t xml:space="preserve"> (</w:t>
      </w:r>
      <w:r>
        <w:rPr>
          <w:b/>
          <w:sz w:val="28"/>
          <w:szCs w:val="28"/>
        </w:rPr>
        <w:t>B32/2023</w:t>
      </w:r>
      <w:r w:rsidRPr="00E5208F">
        <w:rPr>
          <w:b/>
          <w:sz w:val="28"/>
          <w:szCs w:val="28"/>
        </w:rPr>
        <w:t>)</w:t>
      </w:r>
    </w:p>
    <w:p w14:paraId="26602A5D" w14:textId="77777777" w:rsidR="00FE22C5" w:rsidRPr="00E5208F" w:rsidRDefault="00FE22C5" w:rsidP="00FE22C5">
      <w:pPr>
        <w:rPr>
          <w:szCs w:val="24"/>
        </w:rPr>
      </w:pPr>
    </w:p>
    <w:p w14:paraId="5245FBE3" w14:textId="77777777" w:rsidR="00FE22C5" w:rsidRDefault="00FE22C5" w:rsidP="00FE22C5">
      <w:pPr>
        <w:tabs>
          <w:tab w:val="left" w:pos="2977"/>
        </w:tabs>
        <w:rPr>
          <w:szCs w:val="24"/>
        </w:rPr>
      </w:pPr>
      <w:r>
        <w:rPr>
          <w:szCs w:val="24"/>
          <w:u w:val="single"/>
        </w:rPr>
        <w:t>Court appealed from</w:t>
      </w:r>
      <w:r>
        <w:rPr>
          <w:szCs w:val="24"/>
        </w:rPr>
        <w:t xml:space="preserve">:  </w:t>
      </w:r>
      <w:r>
        <w:rPr>
          <w:szCs w:val="24"/>
        </w:rPr>
        <w:tab/>
        <w:t xml:space="preserve">Full Court of Federal Court of Australia </w:t>
      </w:r>
    </w:p>
    <w:p w14:paraId="61DD25F4" w14:textId="77777777" w:rsidR="00FE22C5" w:rsidRDefault="00FE22C5" w:rsidP="00FE22C5">
      <w:pPr>
        <w:tabs>
          <w:tab w:val="left" w:pos="2977"/>
        </w:tabs>
        <w:ind w:left="2835" w:firstLine="142"/>
        <w:rPr>
          <w:szCs w:val="24"/>
        </w:rPr>
      </w:pPr>
      <w:r>
        <w:rPr>
          <w:szCs w:val="24"/>
        </w:rPr>
        <w:t>[2022] FCAFC 171</w:t>
      </w:r>
    </w:p>
    <w:p w14:paraId="7C05F075" w14:textId="77777777" w:rsidR="00FE22C5" w:rsidRPr="00E5208F" w:rsidRDefault="00FE22C5" w:rsidP="00FE22C5">
      <w:pPr>
        <w:tabs>
          <w:tab w:val="left" w:pos="2977"/>
        </w:tabs>
        <w:ind w:left="2835" w:firstLine="142"/>
        <w:rPr>
          <w:szCs w:val="24"/>
        </w:rPr>
      </w:pPr>
    </w:p>
    <w:p w14:paraId="0AE6AB26" w14:textId="77777777" w:rsidR="00FE22C5" w:rsidRDefault="00FE22C5" w:rsidP="00FE22C5">
      <w:pPr>
        <w:tabs>
          <w:tab w:val="left" w:pos="2977"/>
        </w:tabs>
        <w:ind w:left="142" w:hanging="142"/>
        <w:rPr>
          <w:szCs w:val="24"/>
        </w:rPr>
      </w:pPr>
      <w:r>
        <w:rPr>
          <w:szCs w:val="24"/>
          <w:u w:val="single"/>
        </w:rPr>
        <w:t>Date of judgment</w:t>
      </w:r>
      <w:r>
        <w:rPr>
          <w:szCs w:val="24"/>
        </w:rPr>
        <w:t xml:space="preserve">:   </w:t>
      </w:r>
      <w:r>
        <w:rPr>
          <w:szCs w:val="24"/>
        </w:rPr>
        <w:tab/>
        <w:t>12 October 2022</w:t>
      </w:r>
    </w:p>
    <w:p w14:paraId="4E4080FC" w14:textId="77777777" w:rsidR="00FE22C5" w:rsidRDefault="00FE22C5" w:rsidP="00FE22C5">
      <w:pPr>
        <w:tabs>
          <w:tab w:val="left" w:pos="3969"/>
        </w:tabs>
        <w:rPr>
          <w:szCs w:val="24"/>
        </w:rPr>
      </w:pPr>
    </w:p>
    <w:p w14:paraId="1BA11585" w14:textId="77777777" w:rsidR="00FE22C5" w:rsidRDefault="00FE22C5" w:rsidP="00FE22C5">
      <w:pPr>
        <w:tabs>
          <w:tab w:val="left" w:pos="2977"/>
        </w:tabs>
        <w:rPr>
          <w:szCs w:val="24"/>
        </w:rPr>
      </w:pPr>
      <w:r w:rsidRPr="007032C7">
        <w:rPr>
          <w:szCs w:val="24"/>
          <w:u w:val="single"/>
        </w:rPr>
        <w:t>Special leave granted</w:t>
      </w:r>
      <w:r w:rsidRPr="003C255C">
        <w:rPr>
          <w:szCs w:val="24"/>
        </w:rPr>
        <w:t>:</w:t>
      </w:r>
      <w:r>
        <w:rPr>
          <w:szCs w:val="24"/>
        </w:rPr>
        <w:tab/>
        <w:t>9 June 2023</w:t>
      </w:r>
    </w:p>
    <w:p w14:paraId="0DC35E38" w14:textId="77777777" w:rsidR="00FE22C5" w:rsidRDefault="00FE22C5" w:rsidP="00FE22C5">
      <w:pPr>
        <w:tabs>
          <w:tab w:val="left" w:pos="2977"/>
        </w:tabs>
        <w:rPr>
          <w:szCs w:val="24"/>
        </w:rPr>
      </w:pPr>
    </w:p>
    <w:p w14:paraId="1B024816" w14:textId="77777777" w:rsidR="00FE22C5" w:rsidRDefault="00FE22C5" w:rsidP="00FE22C5">
      <w:pPr>
        <w:pStyle w:val="NormalWeb"/>
        <w:shd w:val="clear" w:color="auto" w:fill="FFFFFF" w:themeFill="background1"/>
        <w:spacing w:before="0" w:beforeAutospacing="0" w:after="0" w:afterAutospacing="0"/>
        <w:jc w:val="both"/>
        <w:rPr>
          <w:rFonts w:ascii="Arial" w:hAnsi="Arial" w:cs="Arial"/>
          <w:iCs/>
          <w:lang w:val="en-US"/>
        </w:rPr>
      </w:pPr>
      <w:r w:rsidRPr="006C0D4F">
        <w:rPr>
          <w:rFonts w:ascii="Arial" w:hAnsi="Arial" w:cs="Arial"/>
          <w:iCs/>
          <w:lang w:val="en-US"/>
        </w:rPr>
        <w:t>In December 2019, the appellant (“C</w:t>
      </w:r>
      <w:r w:rsidRPr="00574484">
        <w:rPr>
          <w:rFonts w:ascii="Arial" w:hAnsi="Arial" w:cs="Arial"/>
          <w:iCs/>
          <w:lang w:val="en-US"/>
        </w:rPr>
        <w:t>armichael</w:t>
      </w:r>
      <w:r w:rsidRPr="006C0D4F">
        <w:rPr>
          <w:rFonts w:ascii="Arial" w:hAnsi="Arial" w:cs="Arial"/>
          <w:iCs/>
          <w:lang w:val="en-US"/>
        </w:rPr>
        <w:t xml:space="preserve">”) entered into an agreement with </w:t>
      </w:r>
      <w:r>
        <w:rPr>
          <w:rFonts w:ascii="Arial" w:hAnsi="Arial" w:cs="Arial"/>
          <w:iCs/>
          <w:lang w:val="en-US"/>
        </w:rPr>
        <w:t>OneSteel Manufacturing Pty Ltd (“OneSteel”)</w:t>
      </w:r>
      <w:r w:rsidRPr="006C0D4F">
        <w:rPr>
          <w:rFonts w:ascii="Arial" w:hAnsi="Arial" w:cs="Arial"/>
          <w:iCs/>
          <w:lang w:val="en-US"/>
        </w:rPr>
        <w:t xml:space="preserve"> for the manufacturing and supply of steel rails in South Australia to be used in a railway construction project in Queensland.</w:t>
      </w:r>
      <w:r>
        <w:rPr>
          <w:rFonts w:ascii="Arial" w:hAnsi="Arial" w:cs="Arial"/>
          <w:iCs/>
          <w:lang w:val="en-US"/>
        </w:rPr>
        <w:t xml:space="preserve">  Carmichael engaged </w:t>
      </w:r>
      <w:r w:rsidRPr="008C764C">
        <w:rPr>
          <w:rFonts w:ascii="Arial" w:hAnsi="Arial" w:cs="Arial"/>
          <w:iCs/>
          <w:lang w:val="en-US"/>
        </w:rPr>
        <w:t xml:space="preserve">the first respondent </w:t>
      </w:r>
      <w:r>
        <w:rPr>
          <w:rFonts w:ascii="Arial" w:hAnsi="Arial" w:cs="Arial"/>
          <w:iCs/>
          <w:lang w:val="en-US"/>
        </w:rPr>
        <w:t>(“</w:t>
      </w:r>
      <w:r w:rsidRPr="008C764C">
        <w:rPr>
          <w:rFonts w:ascii="Arial" w:hAnsi="Arial" w:cs="Arial"/>
          <w:iCs/>
          <w:lang w:val="en-US"/>
        </w:rPr>
        <w:t>BBC</w:t>
      </w:r>
      <w:r>
        <w:rPr>
          <w:rFonts w:ascii="Arial" w:hAnsi="Arial" w:cs="Arial"/>
          <w:iCs/>
          <w:lang w:val="en-US"/>
        </w:rPr>
        <w:t>”) to</w:t>
      </w:r>
      <w:r w:rsidRPr="008C764C">
        <w:rPr>
          <w:rFonts w:ascii="Arial" w:hAnsi="Arial" w:cs="Arial"/>
          <w:iCs/>
          <w:lang w:val="en-US"/>
        </w:rPr>
        <w:t xml:space="preserve"> transport the rails from South Australia to Queensland by sea.</w:t>
      </w:r>
    </w:p>
    <w:p w14:paraId="4194413E" w14:textId="77777777" w:rsidR="00FE22C5" w:rsidRDefault="00FE22C5" w:rsidP="00FE22C5">
      <w:pPr>
        <w:pStyle w:val="NormalWeb"/>
        <w:shd w:val="clear" w:color="auto" w:fill="FFFFFF" w:themeFill="background1"/>
        <w:spacing w:before="0" w:beforeAutospacing="0" w:after="0" w:afterAutospacing="0"/>
        <w:jc w:val="both"/>
        <w:rPr>
          <w:rFonts w:ascii="Arial" w:hAnsi="Arial" w:cs="Arial"/>
          <w:iCs/>
          <w:lang w:val="en-US"/>
        </w:rPr>
      </w:pPr>
    </w:p>
    <w:p w14:paraId="6F97CBC6" w14:textId="67EDCF94" w:rsidR="00FE22C5" w:rsidRDefault="00FE22C5" w:rsidP="00FE22C5">
      <w:pPr>
        <w:pStyle w:val="NormalWeb"/>
        <w:shd w:val="clear" w:color="auto" w:fill="FFFFFF" w:themeFill="background1"/>
        <w:spacing w:before="0" w:beforeAutospacing="0" w:after="0" w:afterAutospacing="0"/>
        <w:jc w:val="both"/>
        <w:rPr>
          <w:rFonts w:ascii="Arial" w:hAnsi="Arial" w:cs="Arial"/>
          <w:iCs/>
          <w:lang w:val="en-US"/>
        </w:rPr>
      </w:pPr>
      <w:r w:rsidRPr="00E75963">
        <w:rPr>
          <w:rFonts w:ascii="Arial" w:hAnsi="Arial" w:cs="Arial"/>
          <w:iCs/>
          <w:lang w:val="en-US"/>
        </w:rPr>
        <w:t xml:space="preserve">On </w:t>
      </w:r>
      <w:r>
        <w:rPr>
          <w:rFonts w:ascii="Arial" w:hAnsi="Arial" w:cs="Arial"/>
          <w:iCs/>
          <w:lang w:val="en-US"/>
        </w:rPr>
        <w:t xml:space="preserve">17 </w:t>
      </w:r>
      <w:r w:rsidRPr="00E75963">
        <w:rPr>
          <w:rFonts w:ascii="Arial" w:hAnsi="Arial" w:cs="Arial"/>
          <w:iCs/>
          <w:lang w:val="en-US"/>
        </w:rPr>
        <w:t>December 2020</w:t>
      </w:r>
      <w:r>
        <w:rPr>
          <w:rFonts w:ascii="Arial" w:hAnsi="Arial" w:cs="Arial"/>
          <w:iCs/>
          <w:lang w:val="en-US"/>
        </w:rPr>
        <w:t>,</w:t>
      </w:r>
      <w:r w:rsidRPr="00E75963">
        <w:rPr>
          <w:rFonts w:ascii="Arial" w:hAnsi="Arial" w:cs="Arial"/>
          <w:iCs/>
          <w:lang w:val="en-US"/>
        </w:rPr>
        <w:t xml:space="preserve"> the steel rails were loaded on</w:t>
      </w:r>
      <w:r>
        <w:rPr>
          <w:rFonts w:ascii="Arial" w:hAnsi="Arial" w:cs="Arial"/>
          <w:iCs/>
          <w:lang w:val="en-US"/>
        </w:rPr>
        <w:t xml:space="preserve"> </w:t>
      </w:r>
      <w:r w:rsidRPr="00E75963">
        <w:rPr>
          <w:rFonts w:ascii="Arial" w:hAnsi="Arial" w:cs="Arial"/>
          <w:iCs/>
          <w:lang w:val="en-US"/>
        </w:rPr>
        <w:t xml:space="preserve">to </w:t>
      </w:r>
      <w:r>
        <w:rPr>
          <w:rFonts w:ascii="Arial" w:hAnsi="Arial" w:cs="Arial"/>
          <w:iCs/>
          <w:lang w:val="en-US"/>
        </w:rPr>
        <w:t xml:space="preserve">a </w:t>
      </w:r>
      <w:r w:rsidRPr="00E75963">
        <w:rPr>
          <w:rFonts w:ascii="Arial" w:hAnsi="Arial" w:cs="Arial"/>
          <w:iCs/>
          <w:lang w:val="en-US"/>
        </w:rPr>
        <w:t xml:space="preserve">vessel named the </w:t>
      </w:r>
      <w:r w:rsidR="0069550A">
        <w:rPr>
          <w:rFonts w:ascii="Arial" w:hAnsi="Arial" w:cs="Arial"/>
          <w:iCs/>
          <w:lang w:val="en-US"/>
        </w:rPr>
        <w:br/>
      </w:r>
      <w:r w:rsidRPr="00E75963">
        <w:rPr>
          <w:rFonts w:ascii="Arial" w:hAnsi="Arial" w:cs="Arial"/>
          <w:iCs/>
          <w:lang w:val="en-US"/>
        </w:rPr>
        <w:t xml:space="preserve">BBC Nile. </w:t>
      </w:r>
      <w:r>
        <w:rPr>
          <w:rFonts w:ascii="Arial" w:hAnsi="Arial" w:cs="Arial"/>
          <w:iCs/>
          <w:lang w:val="en-US"/>
        </w:rPr>
        <w:t xml:space="preserve"> </w:t>
      </w:r>
      <w:r w:rsidRPr="00E75963">
        <w:rPr>
          <w:rFonts w:ascii="Arial" w:hAnsi="Arial" w:cs="Arial"/>
          <w:iCs/>
          <w:lang w:val="en-US"/>
        </w:rPr>
        <w:t>A bill of ladin</w:t>
      </w:r>
      <w:r>
        <w:rPr>
          <w:rFonts w:ascii="Arial" w:hAnsi="Arial" w:cs="Arial"/>
          <w:iCs/>
          <w:lang w:val="en-US"/>
        </w:rPr>
        <w:t xml:space="preserve">g </w:t>
      </w:r>
      <w:r w:rsidRPr="00E75963">
        <w:rPr>
          <w:rFonts w:ascii="Arial" w:hAnsi="Arial" w:cs="Arial"/>
          <w:iCs/>
          <w:lang w:val="en-US"/>
        </w:rPr>
        <w:t>was issued by BBC</w:t>
      </w:r>
      <w:r>
        <w:rPr>
          <w:rFonts w:ascii="Arial" w:hAnsi="Arial" w:cs="Arial"/>
          <w:iCs/>
          <w:lang w:val="en-US"/>
        </w:rPr>
        <w:t xml:space="preserve">, naming </w:t>
      </w:r>
      <w:r w:rsidRPr="00E75963">
        <w:rPr>
          <w:rFonts w:ascii="Arial" w:hAnsi="Arial" w:cs="Arial"/>
          <w:iCs/>
          <w:lang w:val="en-US"/>
        </w:rPr>
        <w:t>Carmichael</w:t>
      </w:r>
      <w:r>
        <w:rPr>
          <w:rFonts w:ascii="Arial" w:hAnsi="Arial" w:cs="Arial"/>
          <w:iCs/>
          <w:lang w:val="en-US"/>
        </w:rPr>
        <w:t xml:space="preserve"> </w:t>
      </w:r>
      <w:r w:rsidRPr="00E75963">
        <w:rPr>
          <w:rFonts w:ascii="Arial" w:hAnsi="Arial" w:cs="Arial"/>
          <w:iCs/>
          <w:lang w:val="en-US"/>
        </w:rPr>
        <w:t>as the consignee</w:t>
      </w:r>
      <w:r>
        <w:rPr>
          <w:rFonts w:ascii="Arial" w:hAnsi="Arial" w:cs="Arial"/>
          <w:iCs/>
          <w:lang w:val="en-US"/>
        </w:rPr>
        <w:t xml:space="preserve"> </w:t>
      </w:r>
      <w:r w:rsidRPr="00E75963">
        <w:rPr>
          <w:rFonts w:ascii="Arial" w:hAnsi="Arial" w:cs="Arial"/>
          <w:iCs/>
          <w:lang w:val="en-US"/>
        </w:rPr>
        <w:t xml:space="preserve">for the shipment </w:t>
      </w:r>
      <w:r>
        <w:rPr>
          <w:rFonts w:ascii="Arial" w:hAnsi="Arial" w:cs="Arial"/>
          <w:iCs/>
          <w:lang w:val="en-US"/>
        </w:rPr>
        <w:t>(“the BOL”)</w:t>
      </w:r>
      <w:r w:rsidRPr="00E75963">
        <w:rPr>
          <w:rFonts w:ascii="Arial" w:hAnsi="Arial" w:cs="Arial"/>
          <w:iCs/>
          <w:lang w:val="en-US"/>
        </w:rPr>
        <w:t xml:space="preserve">. </w:t>
      </w:r>
      <w:r>
        <w:rPr>
          <w:rFonts w:ascii="Arial" w:hAnsi="Arial" w:cs="Arial"/>
          <w:iCs/>
          <w:lang w:val="en-US"/>
        </w:rPr>
        <w:t xml:space="preserve"> </w:t>
      </w:r>
      <w:r w:rsidRPr="00E75963">
        <w:rPr>
          <w:rFonts w:ascii="Arial" w:hAnsi="Arial" w:cs="Arial"/>
          <w:iCs/>
          <w:lang w:val="en-US"/>
        </w:rPr>
        <w:t>The BOL indicated that the</w:t>
      </w:r>
      <w:r>
        <w:rPr>
          <w:rFonts w:ascii="Arial" w:hAnsi="Arial" w:cs="Arial"/>
          <w:iCs/>
          <w:lang w:val="en-US"/>
        </w:rPr>
        <w:t xml:space="preserve"> </w:t>
      </w:r>
      <w:r w:rsidRPr="00E75963">
        <w:rPr>
          <w:rFonts w:ascii="Arial" w:hAnsi="Arial" w:cs="Arial"/>
          <w:iCs/>
          <w:lang w:val="en-US"/>
        </w:rPr>
        <w:t xml:space="preserve">rails were loaded </w:t>
      </w:r>
      <w:r>
        <w:rPr>
          <w:rFonts w:ascii="Arial" w:hAnsi="Arial" w:cs="Arial"/>
          <w:iCs/>
          <w:lang w:val="en-US"/>
        </w:rPr>
        <w:t xml:space="preserve">at </w:t>
      </w:r>
      <w:r w:rsidR="0069550A">
        <w:rPr>
          <w:rFonts w:ascii="Arial" w:hAnsi="Arial" w:cs="Arial"/>
          <w:iCs/>
          <w:lang w:val="en-US"/>
        </w:rPr>
        <w:br/>
      </w:r>
      <w:r w:rsidRPr="00E75963">
        <w:rPr>
          <w:rFonts w:ascii="Arial" w:hAnsi="Arial" w:cs="Arial"/>
          <w:iCs/>
          <w:lang w:val="en-US"/>
        </w:rPr>
        <w:t>South Australia and were to be discharged in Queensland.</w:t>
      </w:r>
      <w:r>
        <w:rPr>
          <w:rFonts w:ascii="Arial" w:hAnsi="Arial" w:cs="Arial"/>
          <w:iCs/>
          <w:lang w:val="en-US"/>
        </w:rPr>
        <w:t xml:space="preserve">  The </w:t>
      </w:r>
      <w:r w:rsidRPr="00C05C2A">
        <w:rPr>
          <w:rFonts w:ascii="Arial" w:hAnsi="Arial" w:cs="Arial"/>
          <w:iCs/>
          <w:lang w:val="en-US"/>
        </w:rPr>
        <w:t>BBC Nile reached the Port of Mackay</w:t>
      </w:r>
      <w:r>
        <w:rPr>
          <w:rFonts w:ascii="Arial" w:hAnsi="Arial" w:cs="Arial"/>
          <w:iCs/>
          <w:lang w:val="en-US"/>
        </w:rPr>
        <w:t xml:space="preserve"> in</w:t>
      </w:r>
      <w:r w:rsidRPr="00C05C2A">
        <w:rPr>
          <w:rFonts w:ascii="Arial" w:hAnsi="Arial" w:cs="Arial"/>
          <w:iCs/>
          <w:lang w:val="en-US"/>
        </w:rPr>
        <w:t xml:space="preserve"> Queensland</w:t>
      </w:r>
      <w:r>
        <w:rPr>
          <w:rFonts w:ascii="Arial" w:hAnsi="Arial" w:cs="Arial"/>
          <w:iCs/>
          <w:lang w:val="en-US"/>
        </w:rPr>
        <w:t xml:space="preserve"> </w:t>
      </w:r>
      <w:r w:rsidRPr="00C05C2A">
        <w:rPr>
          <w:rFonts w:ascii="Arial" w:hAnsi="Arial" w:cs="Arial"/>
          <w:iCs/>
          <w:lang w:val="en-US"/>
        </w:rPr>
        <w:t>on</w:t>
      </w:r>
      <w:r>
        <w:rPr>
          <w:rFonts w:ascii="Arial" w:hAnsi="Arial" w:cs="Arial"/>
          <w:iCs/>
          <w:lang w:val="en-US"/>
        </w:rPr>
        <w:t xml:space="preserve"> 24</w:t>
      </w:r>
      <w:r w:rsidRPr="00C05C2A">
        <w:rPr>
          <w:rFonts w:ascii="Arial" w:hAnsi="Arial" w:cs="Arial"/>
          <w:iCs/>
          <w:lang w:val="en-US"/>
        </w:rPr>
        <w:t xml:space="preserve"> December 2020</w:t>
      </w:r>
      <w:r>
        <w:rPr>
          <w:rFonts w:ascii="Arial" w:hAnsi="Arial" w:cs="Arial"/>
          <w:iCs/>
          <w:lang w:val="en-US"/>
        </w:rPr>
        <w:t>.  The next</w:t>
      </w:r>
      <w:r w:rsidRPr="00C05C2A">
        <w:rPr>
          <w:rFonts w:ascii="Arial" w:hAnsi="Arial" w:cs="Arial"/>
          <w:iCs/>
          <w:lang w:val="en-US"/>
        </w:rPr>
        <w:t xml:space="preserve"> day,</w:t>
      </w:r>
      <w:r>
        <w:rPr>
          <w:rFonts w:ascii="Arial" w:hAnsi="Arial" w:cs="Arial"/>
          <w:iCs/>
          <w:lang w:val="en-US"/>
        </w:rPr>
        <w:t xml:space="preserve"> </w:t>
      </w:r>
      <w:r w:rsidRPr="00C05C2A">
        <w:rPr>
          <w:rFonts w:ascii="Arial" w:hAnsi="Arial" w:cs="Arial"/>
          <w:iCs/>
          <w:lang w:val="en-US"/>
        </w:rPr>
        <w:t>the ship's crew observed that a part of the cargo hold had collapsed</w:t>
      </w:r>
      <w:r>
        <w:rPr>
          <w:rFonts w:ascii="Arial" w:hAnsi="Arial" w:cs="Arial"/>
          <w:iCs/>
          <w:lang w:val="en-US"/>
        </w:rPr>
        <w:t xml:space="preserve"> and had </w:t>
      </w:r>
      <w:r w:rsidRPr="00C05C2A">
        <w:rPr>
          <w:rFonts w:ascii="Arial" w:hAnsi="Arial" w:cs="Arial"/>
          <w:iCs/>
          <w:lang w:val="en-US"/>
        </w:rPr>
        <w:t>caus</w:t>
      </w:r>
      <w:r>
        <w:rPr>
          <w:rFonts w:ascii="Arial" w:hAnsi="Arial" w:cs="Arial"/>
          <w:iCs/>
          <w:lang w:val="en-US"/>
        </w:rPr>
        <w:t>ed</w:t>
      </w:r>
      <w:r w:rsidRPr="00C05C2A">
        <w:rPr>
          <w:rFonts w:ascii="Arial" w:hAnsi="Arial" w:cs="Arial"/>
          <w:iCs/>
          <w:lang w:val="en-US"/>
        </w:rPr>
        <w:t xml:space="preserve"> extensive damage to the</w:t>
      </w:r>
      <w:r>
        <w:rPr>
          <w:rFonts w:ascii="Arial" w:hAnsi="Arial" w:cs="Arial"/>
          <w:iCs/>
          <w:lang w:val="en-US"/>
        </w:rPr>
        <w:t xml:space="preserve"> </w:t>
      </w:r>
      <w:r w:rsidRPr="00C05C2A">
        <w:rPr>
          <w:rFonts w:ascii="Arial" w:hAnsi="Arial" w:cs="Arial"/>
          <w:iCs/>
          <w:lang w:val="en-US"/>
        </w:rPr>
        <w:t xml:space="preserve">rails. </w:t>
      </w:r>
      <w:r>
        <w:rPr>
          <w:rFonts w:ascii="Arial" w:hAnsi="Arial" w:cs="Arial"/>
          <w:iCs/>
          <w:lang w:val="en-US"/>
        </w:rPr>
        <w:t xml:space="preserve"> </w:t>
      </w:r>
      <w:r w:rsidRPr="00C05C2A">
        <w:rPr>
          <w:rFonts w:ascii="Arial" w:hAnsi="Arial" w:cs="Arial"/>
          <w:iCs/>
          <w:lang w:val="en-US"/>
        </w:rPr>
        <w:t>Th</w:t>
      </w:r>
      <w:r>
        <w:rPr>
          <w:rFonts w:ascii="Arial" w:hAnsi="Arial" w:cs="Arial"/>
          <w:iCs/>
          <w:lang w:val="en-US"/>
        </w:rPr>
        <w:t>e</w:t>
      </w:r>
      <w:r w:rsidRPr="00C05C2A">
        <w:rPr>
          <w:rFonts w:ascii="Arial" w:hAnsi="Arial" w:cs="Arial"/>
          <w:iCs/>
          <w:lang w:val="en-US"/>
        </w:rPr>
        <w:t xml:space="preserve"> damage rendered the rails unusable for their intended purpose and they were eventually sold as scrap.</w:t>
      </w:r>
    </w:p>
    <w:p w14:paraId="2D716C7B" w14:textId="77777777" w:rsidR="00FE22C5" w:rsidRPr="00574484" w:rsidRDefault="00FE22C5" w:rsidP="00FE22C5">
      <w:pPr>
        <w:pStyle w:val="NormalWeb"/>
        <w:shd w:val="clear" w:color="auto" w:fill="FFFFFF" w:themeFill="background1"/>
        <w:spacing w:before="0" w:beforeAutospacing="0" w:after="0" w:afterAutospacing="0"/>
        <w:jc w:val="both"/>
        <w:rPr>
          <w:rFonts w:ascii="Arial" w:hAnsi="Arial" w:cs="Arial"/>
          <w:iCs/>
          <w:highlight w:val="yellow"/>
          <w:lang w:val="en-US"/>
        </w:rPr>
      </w:pPr>
    </w:p>
    <w:p w14:paraId="735B86C5" w14:textId="77777777" w:rsidR="00FE22C5" w:rsidRPr="00F838A1" w:rsidRDefault="00FE22C5" w:rsidP="00FE22C5">
      <w:pPr>
        <w:pStyle w:val="NormalWeb"/>
        <w:shd w:val="clear" w:color="auto" w:fill="FFFFFF" w:themeFill="background1"/>
        <w:spacing w:before="0" w:beforeAutospacing="0" w:after="0" w:afterAutospacing="0"/>
        <w:jc w:val="both"/>
        <w:rPr>
          <w:rFonts w:ascii="Arial" w:hAnsi="Arial" w:cs="Arial"/>
          <w:iCs/>
          <w:lang w:val="en-US"/>
        </w:rPr>
      </w:pPr>
      <w:r w:rsidRPr="00C05C2A">
        <w:rPr>
          <w:rFonts w:ascii="Arial" w:hAnsi="Arial" w:cs="Arial"/>
          <w:iCs/>
          <w:lang w:val="en-US"/>
        </w:rPr>
        <w:t>On 2 August 2022, BBC informed Carmichael that they had initiated arbitration proceedings in London</w:t>
      </w:r>
      <w:r>
        <w:rPr>
          <w:rFonts w:ascii="Arial" w:hAnsi="Arial" w:cs="Arial"/>
          <w:iCs/>
          <w:lang w:val="en-US"/>
        </w:rPr>
        <w:t xml:space="preserve"> (“the Arbitration”)</w:t>
      </w:r>
      <w:r w:rsidRPr="00C05C2A">
        <w:rPr>
          <w:rFonts w:ascii="Arial" w:hAnsi="Arial" w:cs="Arial"/>
          <w:iCs/>
          <w:lang w:val="en-US"/>
        </w:rPr>
        <w:t xml:space="preserve"> in accordance with </w:t>
      </w:r>
      <w:r>
        <w:rPr>
          <w:rFonts w:ascii="Arial" w:hAnsi="Arial" w:cs="Arial"/>
          <w:iCs/>
          <w:lang w:val="en-US"/>
        </w:rPr>
        <w:t>an</w:t>
      </w:r>
      <w:r w:rsidRPr="00C05C2A">
        <w:rPr>
          <w:rFonts w:ascii="Arial" w:hAnsi="Arial" w:cs="Arial"/>
          <w:iCs/>
          <w:lang w:val="en-US"/>
        </w:rPr>
        <w:t xml:space="preserve"> arbitration clause</w:t>
      </w:r>
      <w:r>
        <w:rPr>
          <w:rFonts w:ascii="Arial" w:hAnsi="Arial" w:cs="Arial"/>
          <w:iCs/>
          <w:lang w:val="en-US"/>
        </w:rPr>
        <w:t xml:space="preserve">, clause 4 </w:t>
      </w:r>
      <w:r w:rsidRPr="00C05C2A">
        <w:rPr>
          <w:rFonts w:ascii="Arial" w:hAnsi="Arial" w:cs="Arial"/>
          <w:iCs/>
          <w:lang w:val="en-US"/>
        </w:rPr>
        <w:t>in the BOL</w:t>
      </w:r>
      <w:r>
        <w:rPr>
          <w:rFonts w:ascii="Arial" w:hAnsi="Arial" w:cs="Arial"/>
          <w:iCs/>
          <w:lang w:val="en-US"/>
        </w:rPr>
        <w:t>, which provided as follows</w:t>
      </w:r>
      <w:r w:rsidRPr="00C05C2A">
        <w:rPr>
          <w:rFonts w:ascii="Arial" w:hAnsi="Arial" w:cs="Arial"/>
          <w:iCs/>
          <w:lang w:val="en-US"/>
        </w:rPr>
        <w:t>:</w:t>
      </w:r>
    </w:p>
    <w:p w14:paraId="194E1679" w14:textId="77777777" w:rsidR="00FE22C5" w:rsidRDefault="00FE22C5" w:rsidP="00FE22C5">
      <w:pPr>
        <w:shd w:val="clear" w:color="auto" w:fill="FFFFFF"/>
        <w:tabs>
          <w:tab w:val="left" w:pos="7513"/>
        </w:tabs>
        <w:ind w:left="434" w:right="330"/>
        <w:jc w:val="both"/>
        <w:rPr>
          <w:rFonts w:cs="Arial"/>
          <w:i/>
          <w:szCs w:val="24"/>
        </w:rPr>
      </w:pPr>
    </w:p>
    <w:p w14:paraId="63C0F0CE" w14:textId="77777777" w:rsidR="00FE22C5" w:rsidRPr="00C62975" w:rsidRDefault="00FE22C5" w:rsidP="00FE22C5">
      <w:pPr>
        <w:shd w:val="clear" w:color="auto" w:fill="FFFFFF"/>
        <w:tabs>
          <w:tab w:val="left" w:pos="7513"/>
        </w:tabs>
        <w:ind w:left="434" w:right="330"/>
        <w:jc w:val="both"/>
        <w:rPr>
          <w:rFonts w:cs="Arial"/>
          <w:i/>
          <w:szCs w:val="24"/>
        </w:rPr>
      </w:pPr>
      <w:r w:rsidRPr="00574484">
        <w:rPr>
          <w:rFonts w:cs="Arial"/>
          <w:i/>
          <w:szCs w:val="24"/>
        </w:rPr>
        <w:t>Except as provided elsewhere herein, any dispute arising under or in connection with this Bill of Lading shall be referred to arbitration in London.</w:t>
      </w:r>
      <w:r>
        <w:rPr>
          <w:rFonts w:cs="Arial"/>
          <w:i/>
          <w:szCs w:val="24"/>
        </w:rPr>
        <w:t xml:space="preserve"> </w:t>
      </w:r>
      <w:r w:rsidRPr="00574484">
        <w:rPr>
          <w:rFonts w:cs="Arial"/>
          <w:i/>
          <w:szCs w:val="24"/>
        </w:rPr>
        <w:t>The arbitration shall be conducted in accordance with the London Maritime Arbitrators Association (LMAA) terms. The arbitration Tribunal is to consist of three arbitrators, one arbitrator to be appointed by each party and the two so appointed to appoint a third arbitrator. English law is to apply.</w:t>
      </w:r>
    </w:p>
    <w:p w14:paraId="7BE2E84C" w14:textId="77777777" w:rsidR="00FE22C5" w:rsidRPr="00574484" w:rsidRDefault="00FE22C5" w:rsidP="00FE22C5">
      <w:pPr>
        <w:shd w:val="clear" w:color="auto" w:fill="FFFFFF"/>
        <w:jc w:val="both"/>
        <w:rPr>
          <w:rFonts w:cs="Arial"/>
          <w:iCs/>
          <w:szCs w:val="24"/>
        </w:rPr>
      </w:pPr>
    </w:p>
    <w:p w14:paraId="4AF6A72A" w14:textId="423D0C58" w:rsidR="00FE22C5" w:rsidRDefault="00FE22C5" w:rsidP="00FE22C5">
      <w:pPr>
        <w:tabs>
          <w:tab w:val="left" w:pos="3969"/>
        </w:tabs>
        <w:jc w:val="both"/>
        <w:rPr>
          <w:rFonts w:cs="Arial"/>
          <w:iCs/>
          <w:szCs w:val="24"/>
        </w:rPr>
      </w:pPr>
      <w:r w:rsidRPr="004A21B9">
        <w:rPr>
          <w:rFonts w:cs="Arial"/>
          <w:iCs/>
          <w:szCs w:val="24"/>
        </w:rPr>
        <w:t xml:space="preserve">In August 2022, Carmichael </w:t>
      </w:r>
      <w:r>
        <w:rPr>
          <w:rFonts w:cs="Arial"/>
          <w:iCs/>
          <w:szCs w:val="24"/>
        </w:rPr>
        <w:t xml:space="preserve">commenced Federal Court proceedings against BBC and OneSteel for damages.  Carmichael also applied for an injunction restraining BBC from taking any further steps in the Arbitration.  Carmichael contended </w:t>
      </w:r>
      <w:r w:rsidRPr="004A21B9">
        <w:rPr>
          <w:rFonts w:cs="Arial"/>
          <w:iCs/>
          <w:szCs w:val="24"/>
        </w:rPr>
        <w:t xml:space="preserve">that </w:t>
      </w:r>
      <w:r>
        <w:rPr>
          <w:rFonts w:cs="Arial"/>
          <w:iCs/>
          <w:szCs w:val="24"/>
        </w:rPr>
        <w:t xml:space="preserve">it had a statutory right, under </w:t>
      </w:r>
      <w:r w:rsidRPr="004A21B9">
        <w:rPr>
          <w:rFonts w:cs="Arial"/>
          <w:iCs/>
          <w:szCs w:val="24"/>
        </w:rPr>
        <w:t>s</w:t>
      </w:r>
      <w:r>
        <w:rPr>
          <w:rFonts w:cs="Arial"/>
          <w:iCs/>
          <w:szCs w:val="24"/>
        </w:rPr>
        <w:t>ection</w:t>
      </w:r>
      <w:r w:rsidRPr="004A21B9">
        <w:rPr>
          <w:rFonts w:cs="Arial"/>
          <w:iCs/>
          <w:szCs w:val="24"/>
        </w:rPr>
        <w:t xml:space="preserve"> 11(2)(b) of the </w:t>
      </w:r>
      <w:r w:rsidRPr="00CB795C">
        <w:rPr>
          <w:rFonts w:cs="Arial"/>
          <w:i/>
          <w:szCs w:val="24"/>
        </w:rPr>
        <w:t>Carriage of Goods by Sea Act 1991</w:t>
      </w:r>
      <w:r w:rsidRPr="004A21B9">
        <w:rPr>
          <w:rFonts w:cs="Arial"/>
          <w:iCs/>
          <w:szCs w:val="24"/>
        </w:rPr>
        <w:t xml:space="preserve"> (Cth) ("</w:t>
      </w:r>
      <w:r>
        <w:rPr>
          <w:rFonts w:cs="Arial"/>
          <w:iCs/>
          <w:szCs w:val="24"/>
        </w:rPr>
        <w:t xml:space="preserve">the </w:t>
      </w:r>
      <w:r w:rsidRPr="004A21B9">
        <w:rPr>
          <w:rFonts w:cs="Arial"/>
          <w:iCs/>
          <w:szCs w:val="24"/>
        </w:rPr>
        <w:t>COGSA")</w:t>
      </w:r>
      <w:r>
        <w:rPr>
          <w:rFonts w:cs="Arial"/>
          <w:iCs/>
          <w:szCs w:val="24"/>
        </w:rPr>
        <w:t xml:space="preserve">, to an anti-suit injunction preventing any proceedings other than in an Australian court.  </w:t>
      </w:r>
      <w:r w:rsidRPr="00082B89">
        <w:rPr>
          <w:rFonts w:cs="Arial"/>
          <w:iCs/>
          <w:szCs w:val="24"/>
        </w:rPr>
        <w:t xml:space="preserve">BBC </w:t>
      </w:r>
      <w:r>
        <w:rPr>
          <w:rFonts w:cs="Arial"/>
          <w:iCs/>
          <w:szCs w:val="24"/>
        </w:rPr>
        <w:t xml:space="preserve">then applied for </w:t>
      </w:r>
      <w:r w:rsidRPr="00082B89">
        <w:rPr>
          <w:rFonts w:cs="Arial"/>
          <w:iCs/>
          <w:szCs w:val="24"/>
        </w:rPr>
        <w:t xml:space="preserve">a stay of </w:t>
      </w:r>
      <w:r>
        <w:rPr>
          <w:rFonts w:cs="Arial"/>
          <w:iCs/>
          <w:szCs w:val="24"/>
        </w:rPr>
        <w:t xml:space="preserve">Carmichael’s </w:t>
      </w:r>
      <w:r w:rsidRPr="00082B89">
        <w:rPr>
          <w:rFonts w:cs="Arial"/>
          <w:iCs/>
          <w:szCs w:val="24"/>
        </w:rPr>
        <w:t>proceedings</w:t>
      </w:r>
      <w:r>
        <w:rPr>
          <w:rFonts w:cs="Arial"/>
          <w:iCs/>
          <w:szCs w:val="24"/>
        </w:rPr>
        <w:t xml:space="preserve"> </w:t>
      </w:r>
      <w:proofErr w:type="gramStart"/>
      <w:r>
        <w:rPr>
          <w:rFonts w:cs="Arial"/>
          <w:iCs/>
          <w:szCs w:val="24"/>
        </w:rPr>
        <w:t>in light of</w:t>
      </w:r>
      <w:proofErr w:type="gramEnd"/>
      <w:r>
        <w:rPr>
          <w:rFonts w:cs="Arial"/>
          <w:iCs/>
          <w:szCs w:val="24"/>
        </w:rPr>
        <w:t xml:space="preserve"> </w:t>
      </w:r>
      <w:r w:rsidRPr="00082B89">
        <w:rPr>
          <w:rFonts w:cs="Arial"/>
          <w:iCs/>
          <w:szCs w:val="24"/>
        </w:rPr>
        <w:t>the</w:t>
      </w:r>
      <w:r>
        <w:rPr>
          <w:rFonts w:cs="Arial"/>
          <w:iCs/>
          <w:szCs w:val="24"/>
        </w:rPr>
        <w:t xml:space="preserve"> </w:t>
      </w:r>
      <w:r w:rsidRPr="00082B89">
        <w:rPr>
          <w:rFonts w:cs="Arial"/>
          <w:iCs/>
          <w:szCs w:val="24"/>
        </w:rPr>
        <w:t>Arbitration</w:t>
      </w:r>
      <w:r>
        <w:rPr>
          <w:rFonts w:cs="Arial"/>
          <w:iCs/>
          <w:szCs w:val="24"/>
        </w:rPr>
        <w:t>, pursuant to s 7(2) of</w:t>
      </w:r>
      <w:r w:rsidRPr="00082B89">
        <w:rPr>
          <w:rFonts w:cs="Arial"/>
          <w:iCs/>
          <w:szCs w:val="24"/>
        </w:rPr>
        <w:t xml:space="preserve"> the </w:t>
      </w:r>
      <w:r w:rsidR="0069550A">
        <w:rPr>
          <w:rFonts w:cs="Arial"/>
          <w:iCs/>
          <w:szCs w:val="24"/>
        </w:rPr>
        <w:br/>
      </w:r>
      <w:r w:rsidRPr="007467B1">
        <w:rPr>
          <w:rFonts w:cs="Arial"/>
          <w:i/>
          <w:szCs w:val="24"/>
        </w:rPr>
        <w:t>International Arbitration Act 1974</w:t>
      </w:r>
      <w:r w:rsidRPr="00082B89">
        <w:rPr>
          <w:rFonts w:cs="Arial"/>
          <w:iCs/>
          <w:szCs w:val="24"/>
        </w:rPr>
        <w:t xml:space="preserve"> (Cth)</w:t>
      </w:r>
      <w:r>
        <w:rPr>
          <w:rFonts w:cs="Arial"/>
          <w:iCs/>
          <w:szCs w:val="24"/>
        </w:rPr>
        <w:t xml:space="preserve">.  SC </w:t>
      </w:r>
      <w:proofErr w:type="spellStart"/>
      <w:r>
        <w:rPr>
          <w:rFonts w:cs="Arial"/>
          <w:iCs/>
          <w:szCs w:val="24"/>
        </w:rPr>
        <w:t>Derrington</w:t>
      </w:r>
      <w:proofErr w:type="spellEnd"/>
      <w:r>
        <w:rPr>
          <w:rFonts w:cs="Arial"/>
          <w:iCs/>
          <w:szCs w:val="24"/>
        </w:rPr>
        <w:t xml:space="preserve"> J</w:t>
      </w:r>
      <w:r w:rsidRPr="00574484">
        <w:rPr>
          <w:rFonts w:cs="Arial"/>
          <w:iCs/>
          <w:szCs w:val="24"/>
        </w:rPr>
        <w:t xml:space="preserve"> </w:t>
      </w:r>
      <w:r w:rsidRPr="006E1667">
        <w:rPr>
          <w:rFonts w:cs="Arial"/>
          <w:iCs/>
          <w:szCs w:val="24"/>
        </w:rPr>
        <w:t xml:space="preserve">granted a </w:t>
      </w:r>
      <w:r>
        <w:rPr>
          <w:rFonts w:cs="Arial"/>
          <w:iCs/>
          <w:szCs w:val="24"/>
        </w:rPr>
        <w:t>temporary</w:t>
      </w:r>
      <w:r w:rsidRPr="006E1667">
        <w:rPr>
          <w:rFonts w:cs="Arial"/>
          <w:iCs/>
          <w:szCs w:val="24"/>
        </w:rPr>
        <w:t xml:space="preserve"> injunction restrain</w:t>
      </w:r>
      <w:r>
        <w:rPr>
          <w:rFonts w:cs="Arial"/>
          <w:iCs/>
          <w:szCs w:val="24"/>
        </w:rPr>
        <w:t>ing</w:t>
      </w:r>
      <w:r w:rsidRPr="006E1667">
        <w:rPr>
          <w:rFonts w:cs="Arial"/>
          <w:iCs/>
          <w:szCs w:val="24"/>
        </w:rPr>
        <w:t xml:space="preserve"> BBC from taking any further steps in the Arbitration until </w:t>
      </w:r>
      <w:r>
        <w:rPr>
          <w:rFonts w:cs="Arial"/>
          <w:iCs/>
          <w:szCs w:val="24"/>
        </w:rPr>
        <w:t xml:space="preserve">the determination of </w:t>
      </w:r>
      <w:r w:rsidRPr="006E1667">
        <w:rPr>
          <w:rFonts w:cs="Arial"/>
          <w:iCs/>
          <w:szCs w:val="24"/>
        </w:rPr>
        <w:t>Carmichael</w:t>
      </w:r>
      <w:r>
        <w:rPr>
          <w:rFonts w:cs="Arial"/>
          <w:iCs/>
          <w:szCs w:val="24"/>
        </w:rPr>
        <w:t xml:space="preserve">’s and BBC’s applications.  </w:t>
      </w:r>
      <w:proofErr w:type="spellStart"/>
      <w:r>
        <w:rPr>
          <w:rFonts w:cs="Arial"/>
          <w:iCs/>
          <w:szCs w:val="24"/>
        </w:rPr>
        <w:t>Allsop</w:t>
      </w:r>
      <w:proofErr w:type="spellEnd"/>
      <w:r>
        <w:rPr>
          <w:rFonts w:cs="Arial"/>
          <w:iCs/>
          <w:szCs w:val="24"/>
        </w:rPr>
        <w:t xml:space="preserve"> CJ directed that the proceeding be heard by the Full Court of the Federal Court exercising original jurisdiction.</w:t>
      </w:r>
    </w:p>
    <w:p w14:paraId="7377E453" w14:textId="77777777" w:rsidR="00FE22C5" w:rsidRPr="00C83A0E" w:rsidRDefault="00FE22C5" w:rsidP="00FE22C5">
      <w:pPr>
        <w:tabs>
          <w:tab w:val="left" w:pos="3969"/>
        </w:tabs>
        <w:jc w:val="both"/>
        <w:rPr>
          <w:rFonts w:cs="Arial"/>
          <w:iCs/>
          <w:szCs w:val="24"/>
        </w:rPr>
      </w:pPr>
    </w:p>
    <w:p w14:paraId="597F3DD6" w14:textId="77777777" w:rsidR="00FE22C5" w:rsidRPr="00C83A0E" w:rsidRDefault="00FE22C5" w:rsidP="00FE22C5">
      <w:pPr>
        <w:tabs>
          <w:tab w:val="left" w:pos="3969"/>
        </w:tabs>
        <w:jc w:val="both"/>
        <w:rPr>
          <w:rFonts w:cs="Arial"/>
          <w:iCs/>
          <w:szCs w:val="24"/>
        </w:rPr>
      </w:pPr>
      <w:r w:rsidRPr="00C83A0E">
        <w:rPr>
          <w:rFonts w:cs="Arial"/>
          <w:iCs/>
          <w:szCs w:val="24"/>
        </w:rPr>
        <w:t xml:space="preserve">The Full Court </w:t>
      </w:r>
      <w:r>
        <w:rPr>
          <w:rFonts w:cs="Arial"/>
          <w:iCs/>
          <w:szCs w:val="24"/>
        </w:rPr>
        <w:t>(</w:t>
      </w:r>
      <w:proofErr w:type="spellStart"/>
      <w:r w:rsidRPr="00C83A0E">
        <w:rPr>
          <w:rFonts w:cs="Arial"/>
          <w:iCs/>
          <w:szCs w:val="24"/>
        </w:rPr>
        <w:t>Rares</w:t>
      </w:r>
      <w:proofErr w:type="spellEnd"/>
      <w:r w:rsidRPr="00C83A0E">
        <w:rPr>
          <w:rFonts w:cs="Arial"/>
          <w:iCs/>
          <w:szCs w:val="24"/>
        </w:rPr>
        <w:t xml:space="preserve">, </w:t>
      </w:r>
      <w:r>
        <w:rPr>
          <w:rFonts w:cs="Arial"/>
          <w:iCs/>
          <w:szCs w:val="24"/>
        </w:rPr>
        <w:t xml:space="preserve">SC </w:t>
      </w:r>
      <w:proofErr w:type="spellStart"/>
      <w:r w:rsidRPr="00C83A0E">
        <w:rPr>
          <w:rFonts w:cs="Arial"/>
          <w:iCs/>
          <w:szCs w:val="24"/>
        </w:rPr>
        <w:t>Derrington</w:t>
      </w:r>
      <w:proofErr w:type="spellEnd"/>
      <w:r w:rsidRPr="00C83A0E">
        <w:rPr>
          <w:rFonts w:cs="Arial"/>
          <w:iCs/>
          <w:szCs w:val="24"/>
        </w:rPr>
        <w:t xml:space="preserve"> and Stewart</w:t>
      </w:r>
      <w:r>
        <w:rPr>
          <w:rFonts w:cs="Arial"/>
          <w:iCs/>
          <w:szCs w:val="24"/>
        </w:rPr>
        <w:t xml:space="preserve"> JJ)</w:t>
      </w:r>
      <w:r w:rsidRPr="00C83A0E">
        <w:rPr>
          <w:rFonts w:cs="Arial"/>
          <w:iCs/>
          <w:szCs w:val="24"/>
        </w:rPr>
        <w:t xml:space="preserve"> unanimously </w:t>
      </w:r>
      <w:r>
        <w:rPr>
          <w:rFonts w:cs="Arial"/>
          <w:iCs/>
          <w:szCs w:val="24"/>
        </w:rPr>
        <w:t xml:space="preserve">dismissed </w:t>
      </w:r>
      <w:r w:rsidRPr="00C83A0E">
        <w:rPr>
          <w:rFonts w:cs="Arial"/>
          <w:iCs/>
          <w:szCs w:val="24"/>
        </w:rPr>
        <w:t xml:space="preserve">Carmichael's </w:t>
      </w:r>
      <w:r>
        <w:rPr>
          <w:rFonts w:cs="Arial"/>
          <w:iCs/>
          <w:szCs w:val="24"/>
        </w:rPr>
        <w:t>application</w:t>
      </w:r>
      <w:r w:rsidRPr="00C83A0E">
        <w:rPr>
          <w:rFonts w:cs="Arial"/>
          <w:iCs/>
          <w:szCs w:val="24"/>
        </w:rPr>
        <w:t xml:space="preserve"> for an anti-suit injunction</w:t>
      </w:r>
      <w:r>
        <w:rPr>
          <w:rFonts w:cs="Arial"/>
          <w:iCs/>
          <w:szCs w:val="24"/>
        </w:rPr>
        <w:t xml:space="preserve">, discharged the interim injunction </w:t>
      </w:r>
      <w:r w:rsidRPr="00C83A0E">
        <w:rPr>
          <w:rFonts w:cs="Arial"/>
          <w:iCs/>
          <w:szCs w:val="24"/>
        </w:rPr>
        <w:t xml:space="preserve">and granted BBC's application for a stay of the Australian proceedings </w:t>
      </w:r>
      <w:r>
        <w:rPr>
          <w:rFonts w:cs="Arial"/>
          <w:iCs/>
          <w:szCs w:val="24"/>
        </w:rPr>
        <w:t xml:space="preserve">in </w:t>
      </w:r>
      <w:proofErr w:type="spellStart"/>
      <w:r>
        <w:rPr>
          <w:rFonts w:cs="Arial"/>
          <w:iCs/>
          <w:szCs w:val="24"/>
        </w:rPr>
        <w:t>favour</w:t>
      </w:r>
      <w:proofErr w:type="spellEnd"/>
      <w:r>
        <w:rPr>
          <w:rFonts w:cs="Arial"/>
          <w:iCs/>
          <w:szCs w:val="24"/>
        </w:rPr>
        <w:t xml:space="preserve"> of the Arbitration</w:t>
      </w:r>
      <w:r w:rsidRPr="00C83A0E">
        <w:rPr>
          <w:rFonts w:cs="Arial"/>
          <w:iCs/>
          <w:szCs w:val="24"/>
        </w:rPr>
        <w:t xml:space="preserve">. </w:t>
      </w:r>
      <w:r>
        <w:rPr>
          <w:rFonts w:cs="Arial"/>
          <w:iCs/>
          <w:szCs w:val="24"/>
        </w:rPr>
        <w:t xml:space="preserve"> </w:t>
      </w:r>
      <w:r w:rsidRPr="00C83A0E">
        <w:rPr>
          <w:rFonts w:cs="Arial"/>
          <w:iCs/>
          <w:szCs w:val="24"/>
        </w:rPr>
        <w:t>The</w:t>
      </w:r>
      <w:r>
        <w:rPr>
          <w:rFonts w:cs="Arial"/>
          <w:iCs/>
          <w:szCs w:val="24"/>
        </w:rPr>
        <w:t xml:space="preserve">ir </w:t>
      </w:r>
      <w:proofErr w:type="spellStart"/>
      <w:r>
        <w:rPr>
          <w:rFonts w:cs="Arial"/>
          <w:iCs/>
          <w:szCs w:val="24"/>
        </w:rPr>
        <w:t>Honours</w:t>
      </w:r>
      <w:proofErr w:type="spellEnd"/>
      <w:r w:rsidRPr="00C83A0E">
        <w:rPr>
          <w:rFonts w:cs="Arial"/>
          <w:iCs/>
          <w:szCs w:val="24"/>
        </w:rPr>
        <w:t xml:space="preserve"> determined that s 11(2)(b) of the COGSA did not </w:t>
      </w:r>
      <w:r>
        <w:rPr>
          <w:rFonts w:cs="Arial"/>
          <w:iCs/>
          <w:szCs w:val="24"/>
        </w:rPr>
        <w:lastRenderedPageBreak/>
        <w:t>operate to capture</w:t>
      </w:r>
      <w:r w:rsidRPr="00C83A0E">
        <w:rPr>
          <w:rFonts w:cs="Arial"/>
          <w:iCs/>
          <w:szCs w:val="24"/>
        </w:rPr>
        <w:t xml:space="preserve"> inter-</w:t>
      </w:r>
      <w:r>
        <w:rPr>
          <w:rFonts w:cs="Arial"/>
          <w:iCs/>
          <w:szCs w:val="24"/>
        </w:rPr>
        <w:t>S</w:t>
      </w:r>
      <w:r w:rsidRPr="00C83A0E">
        <w:rPr>
          <w:rFonts w:cs="Arial"/>
          <w:iCs/>
          <w:szCs w:val="24"/>
        </w:rPr>
        <w:t xml:space="preserve">tate bills of lading. </w:t>
      </w:r>
      <w:r>
        <w:rPr>
          <w:rFonts w:cs="Arial"/>
          <w:iCs/>
          <w:szCs w:val="24"/>
        </w:rPr>
        <w:t xml:space="preserve"> After examining</w:t>
      </w:r>
      <w:r w:rsidRPr="00C83A0E">
        <w:rPr>
          <w:rFonts w:cs="Arial"/>
          <w:iCs/>
          <w:szCs w:val="24"/>
        </w:rPr>
        <w:t xml:space="preserve"> the legislative history of th</w:t>
      </w:r>
      <w:r>
        <w:rPr>
          <w:rFonts w:cs="Arial"/>
          <w:iCs/>
          <w:szCs w:val="24"/>
        </w:rPr>
        <w:t>e</w:t>
      </w:r>
      <w:r w:rsidRPr="00C83A0E">
        <w:rPr>
          <w:rFonts w:cs="Arial"/>
          <w:iCs/>
          <w:szCs w:val="24"/>
        </w:rPr>
        <w:t xml:space="preserve"> provision</w:t>
      </w:r>
      <w:r>
        <w:rPr>
          <w:rFonts w:cs="Arial"/>
          <w:iCs/>
          <w:szCs w:val="24"/>
        </w:rPr>
        <w:t>,</w:t>
      </w:r>
      <w:r w:rsidRPr="00C83A0E">
        <w:rPr>
          <w:rFonts w:cs="Arial"/>
          <w:iCs/>
          <w:szCs w:val="24"/>
        </w:rPr>
        <w:t xml:space="preserve"> </w:t>
      </w:r>
      <w:r>
        <w:rPr>
          <w:rFonts w:cs="Arial"/>
          <w:iCs/>
          <w:szCs w:val="24"/>
        </w:rPr>
        <w:t>the Full Court</w:t>
      </w:r>
      <w:r w:rsidRPr="00C83A0E">
        <w:rPr>
          <w:rFonts w:cs="Arial"/>
          <w:iCs/>
          <w:szCs w:val="24"/>
        </w:rPr>
        <w:t xml:space="preserve"> concluded that there was no indication that parties involved in sea carriage documents, including bills of lading</w:t>
      </w:r>
      <w:r>
        <w:rPr>
          <w:rFonts w:cs="Arial"/>
          <w:iCs/>
          <w:szCs w:val="24"/>
        </w:rPr>
        <w:t>,</w:t>
      </w:r>
      <w:r w:rsidRPr="00C83A0E">
        <w:rPr>
          <w:rFonts w:cs="Arial"/>
          <w:iCs/>
          <w:szCs w:val="24"/>
        </w:rPr>
        <w:t xml:space="preserve"> should be prohibited from choosing to resolve disputes outside the jurisdiction of Australian courts when it </w:t>
      </w:r>
      <w:r>
        <w:rPr>
          <w:rFonts w:cs="Arial"/>
          <w:iCs/>
          <w:szCs w:val="24"/>
        </w:rPr>
        <w:t>came</w:t>
      </w:r>
      <w:r w:rsidRPr="00C83A0E">
        <w:rPr>
          <w:rFonts w:cs="Arial"/>
          <w:iCs/>
          <w:szCs w:val="24"/>
        </w:rPr>
        <w:t xml:space="preserve"> to </w:t>
      </w:r>
      <w:r>
        <w:rPr>
          <w:rFonts w:cs="Arial"/>
          <w:iCs/>
          <w:szCs w:val="24"/>
        </w:rPr>
        <w:t>the carriage of goods</w:t>
      </w:r>
      <w:r w:rsidRPr="00C83A0E">
        <w:rPr>
          <w:rFonts w:cs="Arial"/>
          <w:iCs/>
          <w:szCs w:val="24"/>
        </w:rPr>
        <w:t xml:space="preserve"> inter-</w:t>
      </w:r>
      <w:r>
        <w:rPr>
          <w:rFonts w:cs="Arial"/>
          <w:iCs/>
          <w:szCs w:val="24"/>
        </w:rPr>
        <w:t>S</w:t>
      </w:r>
      <w:r w:rsidRPr="00C83A0E">
        <w:rPr>
          <w:rFonts w:cs="Arial"/>
          <w:iCs/>
          <w:szCs w:val="24"/>
        </w:rPr>
        <w:t>tate.</w:t>
      </w:r>
      <w:r>
        <w:rPr>
          <w:rFonts w:cs="Arial"/>
          <w:iCs/>
          <w:szCs w:val="24"/>
        </w:rPr>
        <w:t xml:space="preserve"> </w:t>
      </w:r>
      <w:r w:rsidRPr="00C83A0E">
        <w:rPr>
          <w:rFonts w:cs="Arial"/>
          <w:iCs/>
          <w:szCs w:val="24"/>
        </w:rPr>
        <w:t xml:space="preserve"> </w:t>
      </w:r>
      <w:r>
        <w:rPr>
          <w:rFonts w:cs="Arial"/>
          <w:iCs/>
          <w:szCs w:val="24"/>
        </w:rPr>
        <w:t>A</w:t>
      </w:r>
      <w:r w:rsidRPr="00C83A0E">
        <w:rPr>
          <w:rFonts w:cs="Arial"/>
          <w:iCs/>
          <w:szCs w:val="24"/>
        </w:rPr>
        <w:t>mbiguity in the provision likely resulted from a drafting error</w:t>
      </w:r>
      <w:r>
        <w:rPr>
          <w:rFonts w:cs="Arial"/>
          <w:iCs/>
          <w:szCs w:val="24"/>
        </w:rPr>
        <w:t xml:space="preserve"> </w:t>
      </w:r>
      <w:r w:rsidRPr="00C83A0E">
        <w:rPr>
          <w:rFonts w:cs="Arial"/>
          <w:iCs/>
          <w:szCs w:val="24"/>
        </w:rPr>
        <w:t xml:space="preserve">and </w:t>
      </w:r>
      <w:r>
        <w:rPr>
          <w:rFonts w:cs="Arial"/>
          <w:iCs/>
          <w:szCs w:val="24"/>
        </w:rPr>
        <w:t xml:space="preserve">their </w:t>
      </w:r>
      <w:proofErr w:type="spellStart"/>
      <w:r>
        <w:rPr>
          <w:rFonts w:cs="Arial"/>
          <w:iCs/>
          <w:szCs w:val="24"/>
        </w:rPr>
        <w:t>Honours</w:t>
      </w:r>
      <w:proofErr w:type="spellEnd"/>
      <w:r w:rsidRPr="00C83A0E">
        <w:rPr>
          <w:rFonts w:cs="Arial"/>
          <w:iCs/>
          <w:szCs w:val="24"/>
        </w:rPr>
        <w:t xml:space="preserve"> </w:t>
      </w:r>
      <w:r>
        <w:rPr>
          <w:rFonts w:cs="Arial"/>
          <w:iCs/>
          <w:szCs w:val="24"/>
        </w:rPr>
        <w:t>considered</w:t>
      </w:r>
      <w:r w:rsidRPr="00C83A0E">
        <w:rPr>
          <w:rFonts w:cs="Arial"/>
          <w:iCs/>
          <w:szCs w:val="24"/>
        </w:rPr>
        <w:t xml:space="preserve"> that </w:t>
      </w:r>
      <w:r>
        <w:rPr>
          <w:rFonts w:cs="Arial"/>
          <w:iCs/>
          <w:szCs w:val="24"/>
        </w:rPr>
        <w:t>reading the</w:t>
      </w:r>
      <w:r w:rsidRPr="00C83A0E">
        <w:rPr>
          <w:rFonts w:cs="Arial"/>
          <w:iCs/>
          <w:szCs w:val="24"/>
        </w:rPr>
        <w:t xml:space="preserve"> </w:t>
      </w:r>
      <w:r>
        <w:rPr>
          <w:rFonts w:cs="Arial"/>
          <w:iCs/>
          <w:szCs w:val="24"/>
        </w:rPr>
        <w:t>BOL</w:t>
      </w:r>
      <w:r w:rsidRPr="00C83A0E">
        <w:rPr>
          <w:rFonts w:cs="Arial"/>
          <w:iCs/>
          <w:szCs w:val="24"/>
        </w:rPr>
        <w:t xml:space="preserve"> broadly would create more problems than solutions. </w:t>
      </w:r>
      <w:r>
        <w:rPr>
          <w:rFonts w:cs="Arial"/>
          <w:iCs/>
          <w:szCs w:val="24"/>
        </w:rPr>
        <w:t xml:space="preserve"> </w:t>
      </w:r>
      <w:r w:rsidRPr="00C83A0E">
        <w:rPr>
          <w:rFonts w:cs="Arial"/>
          <w:iCs/>
          <w:szCs w:val="24"/>
        </w:rPr>
        <w:t xml:space="preserve">Carmichael </w:t>
      </w:r>
      <w:r>
        <w:rPr>
          <w:rFonts w:cs="Arial"/>
          <w:iCs/>
          <w:szCs w:val="24"/>
        </w:rPr>
        <w:t xml:space="preserve">had </w:t>
      </w:r>
      <w:r w:rsidRPr="00C83A0E">
        <w:rPr>
          <w:rFonts w:cs="Arial"/>
          <w:iCs/>
          <w:szCs w:val="24"/>
        </w:rPr>
        <w:t xml:space="preserve">argued that it would be appropriate to </w:t>
      </w:r>
      <w:r>
        <w:rPr>
          <w:rFonts w:cs="Arial"/>
          <w:iCs/>
          <w:szCs w:val="24"/>
        </w:rPr>
        <w:t xml:space="preserve">read </w:t>
      </w:r>
      <w:r w:rsidRPr="00C83A0E">
        <w:rPr>
          <w:rFonts w:cs="Arial"/>
          <w:iCs/>
          <w:szCs w:val="24"/>
        </w:rPr>
        <w:t>additional words into s 11(2)(b) of the COGSA to provide comprehensive protection for all Australian shippers except in cases of inter-</w:t>
      </w:r>
      <w:r>
        <w:rPr>
          <w:rFonts w:cs="Arial"/>
          <w:iCs/>
          <w:szCs w:val="24"/>
        </w:rPr>
        <w:t>S</w:t>
      </w:r>
      <w:r w:rsidRPr="00C83A0E">
        <w:rPr>
          <w:rFonts w:cs="Arial"/>
          <w:iCs/>
          <w:szCs w:val="24"/>
        </w:rPr>
        <w:t xml:space="preserve">tate carriage. </w:t>
      </w:r>
      <w:r>
        <w:rPr>
          <w:rFonts w:cs="Arial"/>
          <w:iCs/>
          <w:szCs w:val="24"/>
        </w:rPr>
        <w:t xml:space="preserve"> The</w:t>
      </w:r>
      <w:r w:rsidRPr="00C83A0E">
        <w:rPr>
          <w:rFonts w:cs="Arial"/>
          <w:iCs/>
          <w:szCs w:val="24"/>
        </w:rPr>
        <w:t xml:space="preserve"> Full Court rejected this argument, </w:t>
      </w:r>
      <w:r>
        <w:rPr>
          <w:rFonts w:cs="Arial"/>
          <w:iCs/>
          <w:szCs w:val="24"/>
        </w:rPr>
        <w:t xml:space="preserve">finding </w:t>
      </w:r>
      <w:r w:rsidRPr="00C83A0E">
        <w:rPr>
          <w:rFonts w:cs="Arial"/>
          <w:iCs/>
          <w:szCs w:val="24"/>
        </w:rPr>
        <w:t xml:space="preserve">that the intention behind the provision was to address a different loophole related to controlling shipowner liability rather than ensuring that all sea carriage disputes automatically </w:t>
      </w:r>
      <w:r>
        <w:rPr>
          <w:rFonts w:cs="Arial"/>
          <w:iCs/>
          <w:szCs w:val="24"/>
        </w:rPr>
        <w:t>came within</w:t>
      </w:r>
      <w:r w:rsidRPr="00C83A0E">
        <w:rPr>
          <w:rFonts w:cs="Arial"/>
          <w:iCs/>
          <w:szCs w:val="24"/>
        </w:rPr>
        <w:t xml:space="preserve"> the jurisdiction of Australian courts.</w:t>
      </w:r>
    </w:p>
    <w:p w14:paraId="017413FC" w14:textId="77777777" w:rsidR="00FE22C5" w:rsidRDefault="00FE22C5" w:rsidP="00FE22C5">
      <w:pPr>
        <w:jc w:val="both"/>
        <w:rPr>
          <w:rFonts w:cs="Arial"/>
          <w:iCs/>
          <w:szCs w:val="24"/>
        </w:rPr>
      </w:pPr>
    </w:p>
    <w:p w14:paraId="5D2F6AD5" w14:textId="77777777" w:rsidR="00FE22C5" w:rsidRDefault="00FE22C5" w:rsidP="00FE22C5">
      <w:pPr>
        <w:jc w:val="both"/>
        <w:rPr>
          <w:rFonts w:cs="Arial"/>
          <w:iCs/>
          <w:szCs w:val="24"/>
        </w:rPr>
      </w:pPr>
      <w:r>
        <w:rPr>
          <w:rFonts w:cs="Arial"/>
          <w:iCs/>
          <w:szCs w:val="24"/>
        </w:rPr>
        <w:t>The ground of appeal is:</w:t>
      </w:r>
    </w:p>
    <w:p w14:paraId="7F2267BC" w14:textId="77777777" w:rsidR="00FE22C5" w:rsidRDefault="00FE22C5" w:rsidP="00FE22C5">
      <w:pPr>
        <w:jc w:val="both"/>
        <w:rPr>
          <w:rFonts w:cs="Arial"/>
          <w:iCs/>
          <w:szCs w:val="24"/>
        </w:rPr>
      </w:pPr>
    </w:p>
    <w:p w14:paraId="65F2945A" w14:textId="77777777" w:rsidR="00FE22C5" w:rsidRPr="002C09DD" w:rsidRDefault="00FE22C5" w:rsidP="00FE22C5">
      <w:pPr>
        <w:pStyle w:val="ListParagraph"/>
        <w:numPr>
          <w:ilvl w:val="0"/>
          <w:numId w:val="13"/>
        </w:numPr>
        <w:spacing w:after="180"/>
        <w:ind w:left="434" w:hanging="434"/>
        <w:rPr>
          <w:rFonts w:cs="Arial"/>
          <w:iCs/>
          <w:szCs w:val="24"/>
        </w:rPr>
      </w:pPr>
      <w:r>
        <w:rPr>
          <w:rFonts w:cs="Arial"/>
          <w:iCs/>
          <w:szCs w:val="24"/>
        </w:rPr>
        <w:t xml:space="preserve">The Full Court erred in holding that the arbitration clause contained in clause 4 of the BOL was valid, when it ought to have held that clause void by operation of Article 3(8) of the Australian Hague Rules on the basis that there existed a risk that BBC’s liability would be relieved or lessened </w:t>
      </w:r>
      <w:proofErr w:type="gramStart"/>
      <w:r>
        <w:rPr>
          <w:rFonts w:cs="Arial"/>
          <w:iCs/>
          <w:szCs w:val="24"/>
        </w:rPr>
        <w:t>as a consequence of</w:t>
      </w:r>
      <w:proofErr w:type="gramEnd"/>
      <w:r>
        <w:rPr>
          <w:rFonts w:cs="Arial"/>
          <w:iCs/>
          <w:szCs w:val="24"/>
        </w:rPr>
        <w:t xml:space="preserve"> one or more of the following matters: </w:t>
      </w:r>
    </w:p>
    <w:p w14:paraId="263220AE" w14:textId="53528727" w:rsidR="00FE22C5" w:rsidRPr="002C09DD" w:rsidRDefault="00FE22C5" w:rsidP="00FE22C5">
      <w:pPr>
        <w:pStyle w:val="ListParagraph"/>
        <w:numPr>
          <w:ilvl w:val="0"/>
          <w:numId w:val="12"/>
        </w:numPr>
        <w:spacing w:after="180"/>
        <w:ind w:left="854" w:hanging="428"/>
        <w:rPr>
          <w:rFonts w:cs="Arial"/>
          <w:i/>
          <w:szCs w:val="24"/>
        </w:rPr>
      </w:pPr>
      <w:r>
        <w:rPr>
          <w:rFonts w:cs="Arial"/>
          <w:iCs/>
          <w:szCs w:val="24"/>
        </w:rPr>
        <w:t xml:space="preserve">the risk that the London arbitrators would, in applying the Hague-Visby Rules, apply the pro-carrier interpretation of those rules required by </w:t>
      </w:r>
      <w:r w:rsidR="0047124E">
        <w:rPr>
          <w:rFonts w:cs="Arial"/>
          <w:iCs/>
          <w:szCs w:val="24"/>
        </w:rPr>
        <w:br/>
      </w:r>
      <w:r>
        <w:rPr>
          <w:rFonts w:cs="Arial"/>
          <w:iCs/>
          <w:szCs w:val="24"/>
        </w:rPr>
        <w:t xml:space="preserve">English law, and specifically that the arbitrators would regard themselves as bound to interpret Article 3(2) as delegable, in the manner required by the House of Lords in </w:t>
      </w:r>
      <w:r>
        <w:rPr>
          <w:rFonts w:cs="Arial"/>
          <w:i/>
          <w:szCs w:val="24"/>
        </w:rPr>
        <w:t>Jindal Iron &amp; Steel Co Ltd v Islamic Solidarity Shipping Co Jordan Inc</w:t>
      </w:r>
      <w:r>
        <w:rPr>
          <w:rFonts w:cs="Arial"/>
          <w:iCs/>
          <w:szCs w:val="24"/>
        </w:rPr>
        <w:t xml:space="preserve"> [2004] UKHL 49, with Carmichael thus losing the chance of having its claims against BBC determined in accordance with the interpretation of Article 3(2) </w:t>
      </w:r>
      <w:proofErr w:type="spellStart"/>
      <w:r>
        <w:rPr>
          <w:rFonts w:cs="Arial"/>
          <w:iCs/>
          <w:szCs w:val="24"/>
        </w:rPr>
        <w:t>favoured</w:t>
      </w:r>
      <w:proofErr w:type="spellEnd"/>
      <w:r>
        <w:rPr>
          <w:rFonts w:cs="Arial"/>
          <w:iCs/>
          <w:szCs w:val="24"/>
        </w:rPr>
        <w:t xml:space="preserve"> by Sheller JA in </w:t>
      </w:r>
      <w:r>
        <w:rPr>
          <w:rFonts w:cs="Arial"/>
          <w:i/>
          <w:szCs w:val="24"/>
        </w:rPr>
        <w:t xml:space="preserve">Nikolay Malakhov Shipping Co Ltd v Seas </w:t>
      </w:r>
      <w:proofErr w:type="spellStart"/>
      <w:r>
        <w:rPr>
          <w:rFonts w:cs="Arial"/>
          <w:i/>
          <w:szCs w:val="24"/>
        </w:rPr>
        <w:t>Sapfor</w:t>
      </w:r>
      <w:proofErr w:type="spellEnd"/>
      <w:r>
        <w:rPr>
          <w:rFonts w:cs="Arial"/>
          <w:i/>
          <w:szCs w:val="24"/>
        </w:rPr>
        <w:t xml:space="preserve"> Ltd </w:t>
      </w:r>
      <w:r w:rsidRPr="00B06053">
        <w:rPr>
          <w:rFonts w:cs="Arial"/>
          <w:iCs/>
          <w:szCs w:val="24"/>
        </w:rPr>
        <w:t xml:space="preserve">(1998) 44 NSWLR 371 </w:t>
      </w:r>
      <w:r w:rsidRPr="00F92F0F">
        <w:rPr>
          <w:rFonts w:cs="Arial"/>
          <w:iCs/>
          <w:szCs w:val="24"/>
        </w:rPr>
        <w:t>as a matter of Australian law;</w:t>
      </w:r>
      <w:r>
        <w:rPr>
          <w:rFonts w:cs="Arial"/>
          <w:i/>
          <w:szCs w:val="24"/>
        </w:rPr>
        <w:t xml:space="preserve"> </w:t>
      </w:r>
    </w:p>
    <w:p w14:paraId="6C1C80D6" w14:textId="580F4FE3" w:rsidR="00FE22C5" w:rsidRPr="002C09DD" w:rsidRDefault="00FE22C5" w:rsidP="00FE22C5">
      <w:pPr>
        <w:pStyle w:val="ListParagraph"/>
        <w:numPr>
          <w:ilvl w:val="0"/>
          <w:numId w:val="12"/>
        </w:numPr>
        <w:spacing w:after="180"/>
        <w:ind w:left="854" w:hanging="428"/>
        <w:rPr>
          <w:rFonts w:cs="Arial"/>
          <w:i/>
          <w:szCs w:val="24"/>
        </w:rPr>
      </w:pPr>
      <w:r>
        <w:rPr>
          <w:rFonts w:cs="Arial"/>
          <w:iCs/>
          <w:szCs w:val="24"/>
        </w:rPr>
        <w:t xml:space="preserve">the risk that the London arbitrators would construe the clause paramount in the BOL as incorporating only Articles 1-8 of the Hague Rules, rather than the Hague-Visby Rules as applicable under Australian law, </w:t>
      </w:r>
      <w:r w:rsidR="0069550A">
        <w:rPr>
          <w:rFonts w:cs="Arial"/>
          <w:iCs/>
          <w:szCs w:val="24"/>
        </w:rPr>
        <w:br/>
      </w:r>
      <w:r>
        <w:rPr>
          <w:rFonts w:cs="Arial"/>
          <w:iCs/>
          <w:szCs w:val="24"/>
        </w:rPr>
        <w:t xml:space="preserve">thereby substantially reducing the package limitation </w:t>
      </w:r>
      <w:proofErr w:type="spellStart"/>
      <w:r>
        <w:rPr>
          <w:rFonts w:cs="Arial"/>
          <w:iCs/>
          <w:szCs w:val="24"/>
        </w:rPr>
        <w:t>defence</w:t>
      </w:r>
      <w:proofErr w:type="spellEnd"/>
      <w:r>
        <w:rPr>
          <w:rFonts w:cs="Arial"/>
          <w:iCs/>
          <w:szCs w:val="24"/>
        </w:rPr>
        <w:t>; and/or</w:t>
      </w:r>
    </w:p>
    <w:p w14:paraId="1C87727A" w14:textId="77777777" w:rsidR="00FE22C5" w:rsidRPr="00367DE3" w:rsidRDefault="00FE22C5" w:rsidP="00FE22C5">
      <w:pPr>
        <w:pStyle w:val="ListParagraph"/>
        <w:numPr>
          <w:ilvl w:val="0"/>
          <w:numId w:val="12"/>
        </w:numPr>
        <w:spacing w:after="180"/>
        <w:ind w:left="854" w:hanging="428"/>
        <w:rPr>
          <w:rFonts w:cs="Arial"/>
          <w:i/>
          <w:szCs w:val="24"/>
        </w:rPr>
      </w:pPr>
      <w:r>
        <w:rPr>
          <w:rFonts w:cs="Arial"/>
          <w:iCs/>
          <w:szCs w:val="24"/>
        </w:rPr>
        <w:t>the expense and practical difficulty that would result from requiring Carmichael to pursue its claims against BBC through arbitration in London.</w:t>
      </w:r>
    </w:p>
    <w:p w14:paraId="7A1B9228" w14:textId="0D740D7A" w:rsidR="00107F40" w:rsidRDefault="00107F40" w:rsidP="00913869"/>
    <w:p w14:paraId="3835CA14" w14:textId="0296230F" w:rsidR="009F7CA1" w:rsidRDefault="009F7CA1">
      <w:r>
        <w:br w:type="page"/>
      </w:r>
    </w:p>
    <w:p w14:paraId="65F435B6" w14:textId="77777777" w:rsidR="009B03C3" w:rsidRPr="00BC4343" w:rsidRDefault="009B03C3" w:rsidP="009B03C3">
      <w:pPr>
        <w:rPr>
          <w:sz w:val="28"/>
          <w:szCs w:val="28"/>
        </w:rPr>
      </w:pPr>
      <w:r>
        <w:rPr>
          <w:b/>
          <w:sz w:val="28"/>
          <w:szCs w:val="28"/>
          <w:u w:val="single"/>
        </w:rPr>
        <w:lastRenderedPageBreak/>
        <w:t>XERRI</w:t>
      </w:r>
      <w:r w:rsidRPr="00F46180">
        <w:rPr>
          <w:b/>
          <w:sz w:val="28"/>
          <w:szCs w:val="28"/>
          <w:u w:val="single"/>
        </w:rPr>
        <w:t xml:space="preserve"> v </w:t>
      </w:r>
      <w:r>
        <w:rPr>
          <w:b/>
          <w:sz w:val="28"/>
          <w:szCs w:val="28"/>
          <w:u w:val="single"/>
        </w:rPr>
        <w:t>THE KING</w:t>
      </w:r>
      <w:r>
        <w:rPr>
          <w:b/>
          <w:sz w:val="28"/>
          <w:szCs w:val="28"/>
        </w:rPr>
        <w:t xml:space="preserve"> (S76/2023)</w:t>
      </w:r>
    </w:p>
    <w:p w14:paraId="64BD6DB1" w14:textId="77777777" w:rsidR="009B03C3" w:rsidRPr="00E5208F" w:rsidRDefault="009B03C3" w:rsidP="009B03C3">
      <w:pPr>
        <w:rPr>
          <w:szCs w:val="24"/>
        </w:rPr>
      </w:pPr>
    </w:p>
    <w:p w14:paraId="522612B1" w14:textId="77777777" w:rsidR="009B03C3" w:rsidRDefault="009B03C3" w:rsidP="009B03C3">
      <w:pPr>
        <w:tabs>
          <w:tab w:val="left" w:pos="3119"/>
        </w:tabs>
        <w:ind w:left="3119" w:hanging="3119"/>
        <w:rPr>
          <w:szCs w:val="24"/>
        </w:rPr>
      </w:pPr>
      <w:r>
        <w:rPr>
          <w:szCs w:val="24"/>
          <w:u w:val="single"/>
        </w:rPr>
        <w:t>Court appealed from</w:t>
      </w:r>
      <w:r>
        <w:rPr>
          <w:szCs w:val="24"/>
        </w:rPr>
        <w:t>:</w:t>
      </w:r>
      <w:r>
        <w:rPr>
          <w:szCs w:val="24"/>
        </w:rPr>
        <w:tab/>
        <w:t xml:space="preserve">Court of Criminal Appeal of the Supreme Court of New South Wales </w:t>
      </w:r>
    </w:p>
    <w:p w14:paraId="19A7DFA7" w14:textId="77777777" w:rsidR="009B03C3" w:rsidRDefault="009B03C3" w:rsidP="009B03C3">
      <w:pPr>
        <w:tabs>
          <w:tab w:val="left" w:pos="3119"/>
        </w:tabs>
        <w:ind w:left="3119"/>
        <w:rPr>
          <w:szCs w:val="24"/>
        </w:rPr>
      </w:pPr>
      <w:r>
        <w:rPr>
          <w:szCs w:val="24"/>
        </w:rPr>
        <w:t>[2021] NSWCCA 268</w:t>
      </w:r>
    </w:p>
    <w:p w14:paraId="583BCADB" w14:textId="77777777" w:rsidR="009B03C3" w:rsidRPr="00E5208F" w:rsidRDefault="009B03C3" w:rsidP="009B03C3">
      <w:pPr>
        <w:rPr>
          <w:szCs w:val="24"/>
        </w:rPr>
      </w:pPr>
    </w:p>
    <w:p w14:paraId="08E20E73" w14:textId="77777777" w:rsidR="009B03C3" w:rsidRDefault="009B03C3" w:rsidP="009B03C3">
      <w:pPr>
        <w:tabs>
          <w:tab w:val="left" w:pos="3119"/>
        </w:tabs>
        <w:rPr>
          <w:szCs w:val="24"/>
        </w:rPr>
      </w:pPr>
      <w:r>
        <w:rPr>
          <w:szCs w:val="24"/>
          <w:u w:val="single"/>
        </w:rPr>
        <w:t>Date of judgment</w:t>
      </w:r>
      <w:r>
        <w:rPr>
          <w:szCs w:val="24"/>
        </w:rPr>
        <w:t>:</w:t>
      </w:r>
      <w:r>
        <w:rPr>
          <w:szCs w:val="24"/>
        </w:rPr>
        <w:tab/>
        <w:t>12 November 2021</w:t>
      </w:r>
    </w:p>
    <w:p w14:paraId="635111EA" w14:textId="77777777" w:rsidR="009B03C3" w:rsidRDefault="009B03C3" w:rsidP="009B03C3">
      <w:pPr>
        <w:tabs>
          <w:tab w:val="left" w:pos="3969"/>
        </w:tabs>
        <w:rPr>
          <w:szCs w:val="24"/>
        </w:rPr>
      </w:pPr>
    </w:p>
    <w:p w14:paraId="38292A6E" w14:textId="77777777" w:rsidR="009B03C3" w:rsidRDefault="009B03C3" w:rsidP="009B03C3">
      <w:pPr>
        <w:tabs>
          <w:tab w:val="left" w:pos="3119"/>
        </w:tabs>
        <w:rPr>
          <w:szCs w:val="24"/>
        </w:rPr>
      </w:pPr>
      <w:r w:rsidRPr="000E2E20">
        <w:rPr>
          <w:szCs w:val="24"/>
          <w:u w:val="single"/>
        </w:rPr>
        <w:t>Special leave granted</w:t>
      </w:r>
      <w:r w:rsidRPr="00BE5A6B">
        <w:rPr>
          <w:szCs w:val="24"/>
        </w:rPr>
        <w:t>:</w:t>
      </w:r>
      <w:r>
        <w:rPr>
          <w:szCs w:val="24"/>
        </w:rPr>
        <w:tab/>
        <w:t>16 June 2023</w:t>
      </w:r>
    </w:p>
    <w:p w14:paraId="1E4D916F" w14:textId="77777777" w:rsidR="009B03C3" w:rsidRDefault="009B03C3" w:rsidP="009B03C3">
      <w:pPr>
        <w:pStyle w:val="NormalWeb"/>
        <w:shd w:val="clear" w:color="auto" w:fill="FFFFFF" w:themeFill="background1"/>
        <w:spacing w:before="0" w:beforeAutospacing="0" w:after="0" w:afterAutospacing="0"/>
        <w:ind w:right="-96"/>
        <w:jc w:val="both"/>
        <w:rPr>
          <w:rFonts w:ascii="Arial" w:hAnsi="Arial" w:cs="Arial"/>
          <w:iCs/>
          <w:szCs w:val="20"/>
          <w:lang w:val="en-US"/>
        </w:rPr>
      </w:pPr>
    </w:p>
    <w:p w14:paraId="20D11024" w14:textId="3D3507F9"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 xml:space="preserve">In August 2019, Mr Brian Xerri </w:t>
      </w:r>
      <w:r w:rsidRPr="00077088">
        <w:rPr>
          <w:rFonts w:ascii="Arial" w:hAnsi="Arial" w:cs="Arial"/>
          <w:iCs/>
          <w:szCs w:val="20"/>
          <w:lang w:val="en-US"/>
        </w:rPr>
        <w:t xml:space="preserve">pleaded guilty to an offence of maintaining an unlawful </w:t>
      </w:r>
      <w:r>
        <w:rPr>
          <w:rFonts w:ascii="Arial" w:hAnsi="Arial" w:cs="Arial"/>
          <w:iCs/>
          <w:szCs w:val="20"/>
          <w:lang w:val="en-US"/>
        </w:rPr>
        <w:t xml:space="preserve">sexual </w:t>
      </w:r>
      <w:r w:rsidRPr="00077088">
        <w:rPr>
          <w:rFonts w:ascii="Arial" w:hAnsi="Arial" w:cs="Arial"/>
          <w:iCs/>
          <w:szCs w:val="20"/>
          <w:lang w:val="en-US"/>
        </w:rPr>
        <w:t>relationship with a child under the age of 16 year</w:t>
      </w:r>
      <w:r>
        <w:rPr>
          <w:rFonts w:ascii="Arial" w:hAnsi="Arial" w:cs="Arial"/>
          <w:iCs/>
          <w:szCs w:val="20"/>
          <w:lang w:val="en-US"/>
        </w:rPr>
        <w:t>s,</w:t>
      </w:r>
      <w:r w:rsidRPr="00077088">
        <w:rPr>
          <w:rFonts w:ascii="Arial" w:hAnsi="Arial" w:cs="Arial"/>
          <w:iCs/>
          <w:szCs w:val="20"/>
          <w:lang w:val="en-US"/>
        </w:rPr>
        <w:t xml:space="preserve"> contrary to s</w:t>
      </w:r>
      <w:r>
        <w:rPr>
          <w:rFonts w:ascii="Arial" w:hAnsi="Arial" w:cs="Arial"/>
          <w:iCs/>
          <w:szCs w:val="20"/>
          <w:lang w:val="en-US"/>
        </w:rPr>
        <w:t>ection </w:t>
      </w:r>
      <w:r w:rsidRPr="00077088">
        <w:rPr>
          <w:rFonts w:ascii="Arial" w:hAnsi="Arial" w:cs="Arial"/>
          <w:iCs/>
          <w:szCs w:val="20"/>
          <w:lang w:val="en-US"/>
        </w:rPr>
        <w:t>66</w:t>
      </w:r>
      <w:proofErr w:type="gramStart"/>
      <w:r w:rsidRPr="00077088">
        <w:rPr>
          <w:rFonts w:ascii="Arial" w:hAnsi="Arial" w:cs="Arial"/>
          <w:iCs/>
          <w:szCs w:val="20"/>
          <w:lang w:val="en-US"/>
        </w:rPr>
        <w:t>EA(</w:t>
      </w:r>
      <w:proofErr w:type="gramEnd"/>
      <w:r w:rsidRPr="00077088">
        <w:rPr>
          <w:rFonts w:ascii="Arial" w:hAnsi="Arial" w:cs="Arial"/>
          <w:iCs/>
          <w:szCs w:val="20"/>
          <w:lang w:val="en-US"/>
        </w:rPr>
        <w:t xml:space="preserve">1) of the </w:t>
      </w:r>
      <w:r w:rsidRPr="00F52FC3">
        <w:rPr>
          <w:rFonts w:ascii="Arial" w:hAnsi="Arial" w:cs="Arial"/>
          <w:i/>
          <w:szCs w:val="20"/>
          <w:lang w:val="en-US"/>
        </w:rPr>
        <w:t>Crimes Act 1900</w:t>
      </w:r>
      <w:r w:rsidRPr="00077088">
        <w:rPr>
          <w:rFonts w:ascii="Arial" w:hAnsi="Arial" w:cs="Arial"/>
          <w:iCs/>
          <w:szCs w:val="20"/>
          <w:lang w:val="en-US"/>
        </w:rPr>
        <w:t xml:space="preserve"> (NSW)</w:t>
      </w:r>
      <w:r>
        <w:rPr>
          <w:rFonts w:ascii="Arial" w:hAnsi="Arial" w:cs="Arial"/>
          <w:iCs/>
          <w:szCs w:val="20"/>
          <w:lang w:val="en-US"/>
        </w:rPr>
        <w:t xml:space="preserve"> (“the Crimes Act”), based on his having engaged in two or more acts of sexual intercourse between </w:t>
      </w:r>
      <w:r>
        <w:rPr>
          <w:rFonts w:ascii="Arial" w:hAnsi="Arial" w:cs="Arial"/>
          <w:iCs/>
          <w:szCs w:val="20"/>
          <w:lang w:val="en-US"/>
        </w:rPr>
        <w:br/>
      </w:r>
      <w:r>
        <w:rPr>
          <w:rFonts w:ascii="Arial" w:hAnsi="Arial" w:cs="Arial"/>
          <w:iCs/>
          <w:szCs w:val="20"/>
          <w:lang w:val="en-US"/>
        </w:rPr>
        <w:t>9 November 2016 and 14 July 2018 with a girl who was aged 14 and 15 years</w:t>
      </w:r>
      <w:r w:rsidRPr="00077088">
        <w:rPr>
          <w:rFonts w:ascii="Arial" w:hAnsi="Arial" w:cs="Arial"/>
          <w:iCs/>
          <w:szCs w:val="20"/>
          <w:lang w:val="en-US"/>
        </w:rPr>
        <w:t xml:space="preserve">. </w:t>
      </w:r>
      <w:r>
        <w:rPr>
          <w:rFonts w:ascii="Arial" w:hAnsi="Arial" w:cs="Arial"/>
          <w:iCs/>
          <w:szCs w:val="20"/>
          <w:lang w:val="en-US"/>
        </w:rPr>
        <w:t xml:space="preserve"> </w:t>
      </w:r>
    </w:p>
    <w:p w14:paraId="0F64ED21"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2DE9B95F" w14:textId="004E5A0D"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In February 2020, Judge Wass sentenced Mr Xerri to imprisonment for 8</w:t>
      </w:r>
      <w:r w:rsidRPr="00FA0675">
        <w:rPr>
          <w:rFonts w:ascii="Arial" w:hAnsi="Arial" w:cs="Arial"/>
          <w:iCs/>
          <w:szCs w:val="20"/>
          <w:lang w:val="en-US"/>
        </w:rPr>
        <w:t xml:space="preserve"> </w:t>
      </w:r>
      <w:r>
        <w:rPr>
          <w:rFonts w:ascii="Arial" w:hAnsi="Arial" w:cs="Arial"/>
          <w:iCs/>
          <w:szCs w:val="20"/>
          <w:lang w:val="en-US"/>
        </w:rPr>
        <w:t xml:space="preserve">years, </w:t>
      </w:r>
      <w:r w:rsidR="00CA4E24">
        <w:rPr>
          <w:rFonts w:ascii="Arial" w:hAnsi="Arial" w:cs="Arial"/>
          <w:iCs/>
          <w:szCs w:val="20"/>
          <w:lang w:val="en-US"/>
        </w:rPr>
        <w:br/>
      </w:r>
      <w:r>
        <w:rPr>
          <w:rFonts w:ascii="Arial" w:hAnsi="Arial" w:cs="Arial"/>
          <w:iCs/>
          <w:szCs w:val="20"/>
          <w:lang w:val="en-US"/>
        </w:rPr>
        <w:t xml:space="preserve">with a non-parole period of 4 years and 9 months.  In doing so, her </w:t>
      </w:r>
      <w:proofErr w:type="spellStart"/>
      <w:r>
        <w:rPr>
          <w:rFonts w:ascii="Arial" w:hAnsi="Arial" w:cs="Arial"/>
          <w:iCs/>
          <w:szCs w:val="20"/>
          <w:lang w:val="en-US"/>
        </w:rPr>
        <w:t>Honour</w:t>
      </w:r>
      <w:proofErr w:type="spellEnd"/>
      <w:r>
        <w:rPr>
          <w:rFonts w:ascii="Arial" w:hAnsi="Arial" w:cs="Arial"/>
          <w:iCs/>
          <w:szCs w:val="20"/>
          <w:lang w:val="en-US"/>
        </w:rPr>
        <w:t xml:space="preserve"> stated that the offence carried a maximum penalty of life imprisonment. </w:t>
      </w:r>
    </w:p>
    <w:p w14:paraId="7A7935B1"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170DD2BF" w14:textId="11B6DA62"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On an appeal against his sentence, Mr Xerri made the point (for the first time) that at the time of his offending, s 66</w:t>
      </w:r>
      <w:proofErr w:type="gramStart"/>
      <w:r>
        <w:rPr>
          <w:rFonts w:ascii="Arial" w:hAnsi="Arial" w:cs="Arial"/>
          <w:iCs/>
          <w:szCs w:val="20"/>
          <w:lang w:val="en-US"/>
        </w:rPr>
        <w:t>EA(</w:t>
      </w:r>
      <w:proofErr w:type="gramEnd"/>
      <w:r>
        <w:rPr>
          <w:rFonts w:ascii="Arial" w:hAnsi="Arial" w:cs="Arial"/>
          <w:iCs/>
          <w:szCs w:val="20"/>
          <w:lang w:val="en-US"/>
        </w:rPr>
        <w:t xml:space="preserve">1) prescribed a maximum penalty of 25 years’ imprisonment (“the predecessor offence”); imprisonment for life was introduced by amendments which took effect on 1 December 2018.  He contended that </w:t>
      </w:r>
      <w:r w:rsidR="00EB2BE6">
        <w:rPr>
          <w:rFonts w:ascii="Arial" w:hAnsi="Arial" w:cs="Arial"/>
          <w:iCs/>
          <w:szCs w:val="20"/>
          <w:lang w:val="en-US"/>
        </w:rPr>
        <w:br/>
      </w:r>
      <w:r>
        <w:rPr>
          <w:rFonts w:ascii="Arial" w:hAnsi="Arial" w:cs="Arial"/>
          <w:iCs/>
          <w:szCs w:val="20"/>
          <w:lang w:val="en-US"/>
        </w:rPr>
        <w:t xml:space="preserve">Judge Wass had erred by sentencing with reference to a maximum penalty which was not that prescribed in the predecessor offence.  Mr Xerri </w:t>
      </w:r>
      <w:r w:rsidRPr="0031204E">
        <w:rPr>
          <w:rFonts w:ascii="Arial" w:hAnsi="Arial" w:cs="Arial"/>
          <w:iCs/>
          <w:szCs w:val="20"/>
          <w:lang w:val="en-US"/>
        </w:rPr>
        <w:t>relied on s</w:t>
      </w:r>
      <w:r>
        <w:rPr>
          <w:rFonts w:ascii="Arial" w:hAnsi="Arial" w:cs="Arial"/>
          <w:iCs/>
          <w:szCs w:val="20"/>
          <w:lang w:val="en-US"/>
        </w:rPr>
        <w:t> </w:t>
      </w:r>
      <w:r w:rsidRPr="0031204E">
        <w:rPr>
          <w:rFonts w:ascii="Arial" w:hAnsi="Arial" w:cs="Arial"/>
          <w:iCs/>
          <w:szCs w:val="20"/>
          <w:lang w:val="en-US"/>
        </w:rPr>
        <w:t xml:space="preserve">19 of the </w:t>
      </w:r>
      <w:r w:rsidRPr="00C32712">
        <w:rPr>
          <w:rFonts w:ascii="Arial" w:hAnsi="Arial" w:cs="Arial"/>
          <w:i/>
          <w:szCs w:val="20"/>
          <w:lang w:val="en-US"/>
        </w:rPr>
        <w:t>Crimes (Sentencing Procedure) Act 1999</w:t>
      </w:r>
      <w:r w:rsidRPr="0031204E">
        <w:rPr>
          <w:rFonts w:ascii="Arial" w:hAnsi="Arial" w:cs="Arial"/>
          <w:iCs/>
          <w:szCs w:val="20"/>
          <w:lang w:val="en-US"/>
        </w:rPr>
        <w:t xml:space="preserve"> (NSW) (“the CSP</w:t>
      </w:r>
      <w:r>
        <w:rPr>
          <w:rFonts w:ascii="Arial" w:hAnsi="Arial" w:cs="Arial"/>
          <w:iCs/>
          <w:szCs w:val="20"/>
          <w:lang w:val="en-US"/>
        </w:rPr>
        <w:t xml:space="preserve"> Act</w:t>
      </w:r>
      <w:r w:rsidRPr="0031204E">
        <w:rPr>
          <w:rFonts w:ascii="Arial" w:hAnsi="Arial" w:cs="Arial"/>
          <w:iCs/>
          <w:szCs w:val="20"/>
          <w:lang w:val="en-US"/>
        </w:rPr>
        <w:t xml:space="preserve">”), which </w:t>
      </w:r>
      <w:r>
        <w:rPr>
          <w:rFonts w:ascii="Arial" w:hAnsi="Arial" w:cs="Arial"/>
          <w:iCs/>
          <w:szCs w:val="20"/>
          <w:lang w:val="en-US"/>
        </w:rPr>
        <w:t>provided</w:t>
      </w:r>
      <w:r w:rsidRPr="0031204E">
        <w:rPr>
          <w:rFonts w:ascii="Arial" w:hAnsi="Arial" w:cs="Arial"/>
          <w:iCs/>
          <w:szCs w:val="20"/>
          <w:lang w:val="en-US"/>
        </w:rPr>
        <w:t xml:space="preserve"> that if a law increase</w:t>
      </w:r>
      <w:r>
        <w:rPr>
          <w:rFonts w:ascii="Arial" w:hAnsi="Arial" w:cs="Arial"/>
          <w:iCs/>
          <w:szCs w:val="20"/>
          <w:lang w:val="en-US"/>
        </w:rPr>
        <w:t>d</w:t>
      </w:r>
      <w:r w:rsidRPr="0031204E">
        <w:rPr>
          <w:rFonts w:ascii="Arial" w:hAnsi="Arial" w:cs="Arial"/>
          <w:iCs/>
          <w:szCs w:val="20"/>
          <w:lang w:val="en-US"/>
        </w:rPr>
        <w:t xml:space="preserve"> a penalty, the increased penalty applie</w:t>
      </w:r>
      <w:r>
        <w:rPr>
          <w:rFonts w:ascii="Arial" w:hAnsi="Arial" w:cs="Arial"/>
          <w:iCs/>
          <w:szCs w:val="20"/>
          <w:lang w:val="en-US"/>
        </w:rPr>
        <w:t>d</w:t>
      </w:r>
      <w:r w:rsidRPr="0031204E">
        <w:rPr>
          <w:rFonts w:ascii="Arial" w:hAnsi="Arial" w:cs="Arial"/>
          <w:iCs/>
          <w:szCs w:val="20"/>
          <w:lang w:val="en-US"/>
        </w:rPr>
        <w:t xml:space="preserve"> only to offences committed after the enactment of the law.</w:t>
      </w:r>
      <w:r>
        <w:rPr>
          <w:rFonts w:ascii="Arial" w:hAnsi="Arial" w:cs="Arial"/>
          <w:iCs/>
          <w:szCs w:val="20"/>
          <w:lang w:val="en-US"/>
        </w:rPr>
        <w:t xml:space="preserve">  The Crown submitted that s 66EA, </w:t>
      </w:r>
      <w:r w:rsidR="00EB2BE6">
        <w:rPr>
          <w:rFonts w:ascii="Arial" w:hAnsi="Arial" w:cs="Arial"/>
          <w:iCs/>
          <w:szCs w:val="20"/>
          <w:lang w:val="en-US"/>
        </w:rPr>
        <w:br/>
      </w:r>
      <w:r>
        <w:rPr>
          <w:rFonts w:ascii="Arial" w:hAnsi="Arial" w:cs="Arial"/>
          <w:iCs/>
          <w:szCs w:val="20"/>
          <w:lang w:val="en-US"/>
        </w:rPr>
        <w:t xml:space="preserve">as amended in rewritten form by the </w:t>
      </w:r>
      <w:r w:rsidRPr="004B49A9">
        <w:rPr>
          <w:rFonts w:ascii="Arial" w:hAnsi="Arial" w:cs="Arial"/>
          <w:i/>
          <w:szCs w:val="20"/>
          <w:lang w:val="en-US"/>
        </w:rPr>
        <w:t>Criminal Legislation Amendment (Child Sexual Abuse) Act 2018</w:t>
      </w:r>
      <w:r w:rsidRPr="005D79BE">
        <w:rPr>
          <w:rFonts w:ascii="Arial" w:hAnsi="Arial" w:cs="Arial"/>
          <w:iCs/>
          <w:szCs w:val="20"/>
          <w:lang w:val="en-US"/>
        </w:rPr>
        <w:t xml:space="preserve"> (NSW)</w:t>
      </w:r>
      <w:r>
        <w:rPr>
          <w:rFonts w:ascii="Arial" w:hAnsi="Arial" w:cs="Arial"/>
          <w:iCs/>
          <w:szCs w:val="20"/>
          <w:lang w:val="en-US"/>
        </w:rPr>
        <w:t xml:space="preserve"> (“the Amendment Act”), was a substantially different law from the predecessor offence, with distinctly different elements, such that it constituted a new offence which had retrospective effect.</w:t>
      </w:r>
    </w:p>
    <w:p w14:paraId="085A9E37"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177459A2"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Subsection (7) of s 66EA, as introduced by the Amendment Act, provided as follows:</w:t>
      </w:r>
    </w:p>
    <w:p w14:paraId="659F516C"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2C039791" w14:textId="2EE4898A" w:rsidR="009B03C3" w:rsidRPr="002F4E57" w:rsidRDefault="009B03C3" w:rsidP="009B03C3">
      <w:pPr>
        <w:pStyle w:val="NormalWeb"/>
        <w:shd w:val="clear" w:color="auto" w:fill="FFFFFF" w:themeFill="background1"/>
        <w:spacing w:before="0" w:beforeAutospacing="0" w:after="0" w:afterAutospacing="0"/>
        <w:ind w:left="567" w:right="187" w:hanging="567"/>
        <w:jc w:val="both"/>
        <w:rPr>
          <w:rFonts w:ascii="Arial" w:hAnsi="Arial" w:cs="Arial"/>
          <w:i/>
          <w:szCs w:val="20"/>
          <w:lang w:val="en-US"/>
        </w:rPr>
      </w:pPr>
      <w:r w:rsidRPr="002F4E57">
        <w:rPr>
          <w:rFonts w:ascii="Arial" w:hAnsi="Arial" w:cs="Arial"/>
          <w:i/>
          <w:szCs w:val="20"/>
          <w:lang w:val="en-US"/>
        </w:rPr>
        <w:t>(7)</w:t>
      </w:r>
      <w:r>
        <w:rPr>
          <w:rFonts w:ascii="Arial" w:hAnsi="Arial" w:cs="Arial"/>
          <w:i/>
          <w:szCs w:val="20"/>
          <w:lang w:val="en-US"/>
        </w:rPr>
        <w:tab/>
      </w:r>
      <w:r w:rsidRPr="002F4E57">
        <w:rPr>
          <w:rFonts w:ascii="Arial" w:hAnsi="Arial" w:cs="Arial"/>
          <w:i/>
          <w:szCs w:val="20"/>
          <w:lang w:val="en-US"/>
        </w:rPr>
        <w:t xml:space="preserve">This section extends to a relationship that existed wholly or partly before the commencement of the relevant amendments, or the predecessor offence, </w:t>
      </w:r>
      <w:r w:rsidR="00EB2BE6">
        <w:rPr>
          <w:rFonts w:ascii="Arial" w:hAnsi="Arial" w:cs="Arial"/>
          <w:i/>
          <w:szCs w:val="20"/>
          <w:lang w:val="en-US"/>
        </w:rPr>
        <w:br/>
      </w:r>
      <w:r w:rsidRPr="002F4E57">
        <w:rPr>
          <w:rFonts w:ascii="Arial" w:hAnsi="Arial" w:cs="Arial"/>
          <w:i/>
          <w:szCs w:val="20"/>
          <w:lang w:val="en-US"/>
        </w:rPr>
        <w:t>if the acts engaged in by the accused were unlawful sexual acts during the period in which the relationship existed.</w:t>
      </w:r>
    </w:p>
    <w:p w14:paraId="20DA6EC5" w14:textId="77777777" w:rsidR="009B03C3" w:rsidRPr="00ED34E3" w:rsidRDefault="009B03C3" w:rsidP="009B03C3">
      <w:pPr>
        <w:pStyle w:val="NormalWeb"/>
        <w:shd w:val="clear" w:color="auto" w:fill="FFFFFF" w:themeFill="background1"/>
        <w:spacing w:before="0" w:beforeAutospacing="0" w:after="0" w:afterAutospacing="0"/>
        <w:ind w:right="187"/>
        <w:jc w:val="both"/>
        <w:rPr>
          <w:rFonts w:ascii="Arial" w:hAnsi="Arial" w:cs="Arial"/>
          <w:i/>
          <w:szCs w:val="20"/>
          <w:lang w:val="en-US"/>
        </w:rPr>
      </w:pPr>
    </w:p>
    <w:p w14:paraId="76D82DEA" w14:textId="7C5865B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The</w:t>
      </w:r>
      <w:r w:rsidRPr="00077088">
        <w:rPr>
          <w:rFonts w:ascii="Arial" w:hAnsi="Arial" w:cs="Arial"/>
          <w:iCs/>
          <w:szCs w:val="20"/>
          <w:lang w:val="en-US"/>
        </w:rPr>
        <w:t xml:space="preserve"> Cour</w:t>
      </w:r>
      <w:r>
        <w:rPr>
          <w:rFonts w:ascii="Arial" w:hAnsi="Arial" w:cs="Arial"/>
          <w:iCs/>
          <w:szCs w:val="20"/>
          <w:lang w:val="en-US"/>
        </w:rPr>
        <w:t>t of Criminal Appeal</w:t>
      </w:r>
      <w:r w:rsidRPr="00077088">
        <w:rPr>
          <w:rFonts w:ascii="Arial" w:hAnsi="Arial" w:cs="Arial"/>
          <w:iCs/>
          <w:szCs w:val="20"/>
          <w:lang w:val="en-US"/>
        </w:rPr>
        <w:t xml:space="preserve"> </w:t>
      </w:r>
      <w:r>
        <w:rPr>
          <w:rFonts w:ascii="Arial" w:hAnsi="Arial" w:cs="Arial"/>
          <w:iCs/>
          <w:szCs w:val="20"/>
          <w:lang w:val="en-US"/>
        </w:rPr>
        <w:t xml:space="preserve">(“the CCA”) </w:t>
      </w:r>
      <w:r w:rsidRPr="00077088">
        <w:rPr>
          <w:rFonts w:ascii="Arial" w:hAnsi="Arial" w:cs="Arial"/>
          <w:iCs/>
          <w:szCs w:val="20"/>
          <w:lang w:val="en-US"/>
        </w:rPr>
        <w:t>(Bell P</w:t>
      </w:r>
      <w:r>
        <w:rPr>
          <w:rFonts w:ascii="Arial" w:hAnsi="Arial" w:cs="Arial"/>
          <w:iCs/>
          <w:szCs w:val="20"/>
          <w:lang w:val="en-US"/>
        </w:rPr>
        <w:t xml:space="preserve"> and </w:t>
      </w:r>
      <w:r w:rsidRPr="00077088">
        <w:rPr>
          <w:rFonts w:ascii="Arial" w:hAnsi="Arial" w:cs="Arial"/>
          <w:iCs/>
          <w:szCs w:val="20"/>
          <w:lang w:val="en-US"/>
        </w:rPr>
        <w:t>Price J</w:t>
      </w:r>
      <w:r>
        <w:rPr>
          <w:rFonts w:ascii="Arial" w:hAnsi="Arial" w:cs="Arial"/>
          <w:iCs/>
          <w:szCs w:val="20"/>
          <w:lang w:val="en-US"/>
        </w:rPr>
        <w:t>; Hamill J dissenting</w:t>
      </w:r>
      <w:r w:rsidRPr="00077088">
        <w:rPr>
          <w:rFonts w:ascii="Arial" w:hAnsi="Arial" w:cs="Arial"/>
          <w:iCs/>
          <w:szCs w:val="20"/>
          <w:lang w:val="en-US"/>
        </w:rPr>
        <w:t xml:space="preserve">) </w:t>
      </w:r>
      <w:r>
        <w:rPr>
          <w:rFonts w:ascii="Arial" w:hAnsi="Arial" w:cs="Arial"/>
          <w:iCs/>
          <w:szCs w:val="20"/>
          <w:lang w:val="en-US"/>
        </w:rPr>
        <w:t xml:space="preserve">dismissed Mr </w:t>
      </w:r>
      <w:proofErr w:type="spellStart"/>
      <w:r>
        <w:rPr>
          <w:rFonts w:ascii="Arial" w:hAnsi="Arial" w:cs="Arial"/>
          <w:iCs/>
          <w:szCs w:val="20"/>
          <w:lang w:val="en-US"/>
        </w:rPr>
        <w:t>Xerri’s</w:t>
      </w:r>
      <w:proofErr w:type="spellEnd"/>
      <w:r>
        <w:rPr>
          <w:rFonts w:ascii="Arial" w:hAnsi="Arial" w:cs="Arial"/>
          <w:iCs/>
          <w:szCs w:val="20"/>
          <w:lang w:val="en-US"/>
        </w:rPr>
        <w:t xml:space="preserve"> appeal</w:t>
      </w:r>
      <w:r w:rsidRPr="0078114F">
        <w:rPr>
          <w:rFonts w:ascii="Arial" w:hAnsi="Arial" w:cs="Arial"/>
          <w:iCs/>
          <w:szCs w:val="20"/>
          <w:lang w:val="en-US"/>
        </w:rPr>
        <w:t>.</w:t>
      </w:r>
      <w:r>
        <w:rPr>
          <w:rFonts w:ascii="Arial" w:hAnsi="Arial" w:cs="Arial"/>
          <w:iCs/>
          <w:szCs w:val="20"/>
          <w:lang w:val="en-US"/>
        </w:rPr>
        <w:t xml:space="preserve">  The majority of the CCA held that s 19 of the CSP Act did not apply, their </w:t>
      </w:r>
      <w:proofErr w:type="spellStart"/>
      <w:r>
        <w:rPr>
          <w:rFonts w:ascii="Arial" w:hAnsi="Arial" w:cs="Arial"/>
          <w:iCs/>
          <w:szCs w:val="20"/>
          <w:lang w:val="en-US"/>
        </w:rPr>
        <w:t>Honours</w:t>
      </w:r>
      <w:proofErr w:type="spellEnd"/>
      <w:r>
        <w:rPr>
          <w:rFonts w:ascii="Arial" w:hAnsi="Arial" w:cs="Arial"/>
          <w:iCs/>
          <w:szCs w:val="20"/>
          <w:lang w:val="en-US"/>
        </w:rPr>
        <w:t xml:space="preserve"> considering that s </w:t>
      </w:r>
      <w:r w:rsidRPr="0078114F">
        <w:rPr>
          <w:rFonts w:ascii="Arial" w:hAnsi="Arial" w:cs="Arial"/>
          <w:iCs/>
          <w:szCs w:val="20"/>
          <w:lang w:val="en-US"/>
        </w:rPr>
        <w:t>66</w:t>
      </w:r>
      <w:proofErr w:type="gramStart"/>
      <w:r w:rsidRPr="0078114F">
        <w:rPr>
          <w:rFonts w:ascii="Arial" w:hAnsi="Arial" w:cs="Arial"/>
          <w:iCs/>
          <w:szCs w:val="20"/>
          <w:lang w:val="en-US"/>
        </w:rPr>
        <w:t>EA(</w:t>
      </w:r>
      <w:proofErr w:type="gramEnd"/>
      <w:r w:rsidRPr="0078114F">
        <w:rPr>
          <w:rFonts w:ascii="Arial" w:hAnsi="Arial" w:cs="Arial"/>
          <w:iCs/>
          <w:szCs w:val="20"/>
          <w:lang w:val="en-US"/>
        </w:rPr>
        <w:t>7) of th</w:t>
      </w:r>
      <w:r>
        <w:rPr>
          <w:rFonts w:ascii="Arial" w:hAnsi="Arial" w:cs="Arial"/>
          <w:iCs/>
          <w:szCs w:val="20"/>
          <w:lang w:val="en-US"/>
        </w:rPr>
        <w:t xml:space="preserve">e Amendment Act clearly indicated a legislative intent that the s 66EA(1) offence in its amended form have retrospective effect.  Such an interpretation was confirmed by the second reading speech </w:t>
      </w:r>
      <w:r w:rsidRPr="0078114F">
        <w:rPr>
          <w:rFonts w:ascii="Arial" w:hAnsi="Arial" w:cs="Arial"/>
          <w:iCs/>
          <w:szCs w:val="20"/>
          <w:lang w:val="en-US"/>
        </w:rPr>
        <w:t xml:space="preserve">and </w:t>
      </w:r>
      <w:r>
        <w:rPr>
          <w:rFonts w:ascii="Arial" w:hAnsi="Arial" w:cs="Arial"/>
          <w:iCs/>
          <w:szCs w:val="20"/>
          <w:lang w:val="en-US"/>
        </w:rPr>
        <w:t xml:space="preserve">by </w:t>
      </w:r>
      <w:r w:rsidRPr="0078114F">
        <w:rPr>
          <w:rFonts w:ascii="Arial" w:hAnsi="Arial" w:cs="Arial"/>
          <w:iCs/>
          <w:szCs w:val="20"/>
          <w:lang w:val="en-US"/>
        </w:rPr>
        <w:t>the report of the Royal Commission into Institutional Responses to Child Sexual Abuse</w:t>
      </w:r>
      <w:r>
        <w:rPr>
          <w:rFonts w:ascii="Arial" w:hAnsi="Arial" w:cs="Arial"/>
          <w:iCs/>
          <w:szCs w:val="20"/>
          <w:lang w:val="en-US"/>
        </w:rPr>
        <w:t>.</w:t>
      </w:r>
    </w:p>
    <w:p w14:paraId="63497C8D"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5E666C9B" w14:textId="3807720C"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r w:rsidRPr="00077088">
        <w:rPr>
          <w:rFonts w:ascii="Arial" w:hAnsi="Arial" w:cs="Arial"/>
          <w:iCs/>
          <w:szCs w:val="20"/>
          <w:lang w:val="en-US"/>
        </w:rPr>
        <w:t>Hamill</w:t>
      </w:r>
      <w:r>
        <w:rPr>
          <w:rFonts w:ascii="Arial" w:hAnsi="Arial" w:cs="Arial"/>
          <w:iCs/>
          <w:szCs w:val="20"/>
          <w:lang w:val="en-US"/>
        </w:rPr>
        <w:t> </w:t>
      </w:r>
      <w:r w:rsidRPr="00077088">
        <w:rPr>
          <w:rFonts w:ascii="Arial" w:hAnsi="Arial" w:cs="Arial"/>
          <w:iCs/>
          <w:szCs w:val="20"/>
          <w:lang w:val="en-US"/>
        </w:rPr>
        <w:t>J</w:t>
      </w:r>
      <w:r>
        <w:rPr>
          <w:rFonts w:ascii="Arial" w:hAnsi="Arial" w:cs="Arial"/>
          <w:iCs/>
          <w:szCs w:val="20"/>
          <w:lang w:val="en-US"/>
        </w:rPr>
        <w:t xml:space="preserve"> however considered that, although s 66EA had been reformulated by the Amendment Act, the changes were not of such significance that a new offence was created, and s 19 of the CSP Act did apply.  This was partly on account of s 25</w:t>
      </w:r>
      <w:proofErr w:type="gramStart"/>
      <w:r>
        <w:rPr>
          <w:rFonts w:ascii="Arial" w:hAnsi="Arial" w:cs="Arial"/>
          <w:iCs/>
          <w:szCs w:val="20"/>
          <w:lang w:val="en-US"/>
        </w:rPr>
        <w:t>AA(</w:t>
      </w:r>
      <w:proofErr w:type="gramEnd"/>
      <w:r>
        <w:rPr>
          <w:rFonts w:ascii="Arial" w:hAnsi="Arial" w:cs="Arial"/>
          <w:iCs/>
          <w:szCs w:val="20"/>
          <w:lang w:val="en-US"/>
        </w:rPr>
        <w:t xml:space="preserve">4) of the CSP Act, which provided that s 19 was unaffected (s 25AA(1) otherwise </w:t>
      </w:r>
      <w:r>
        <w:rPr>
          <w:rFonts w:ascii="Arial" w:hAnsi="Arial" w:cs="Arial"/>
          <w:iCs/>
          <w:szCs w:val="20"/>
          <w:lang w:val="en-US"/>
        </w:rPr>
        <w:lastRenderedPageBreak/>
        <w:t xml:space="preserve">providing that sentencing for child sexual offences must be in accordance with sentencing practices at the time of sentencing, rather than at the time of the offence).  Hamill J concluded that retrospectivity applied only to the offence, not to the prescribed maximum penalty. </w:t>
      </w:r>
    </w:p>
    <w:p w14:paraId="1A61673A" w14:textId="77777777" w:rsidR="009B03C3" w:rsidRDefault="009B03C3" w:rsidP="009B03C3">
      <w:pPr>
        <w:shd w:val="clear" w:color="auto" w:fill="FFFFFF" w:themeFill="background1"/>
        <w:tabs>
          <w:tab w:val="left" w:pos="3969"/>
        </w:tabs>
        <w:jc w:val="both"/>
        <w:rPr>
          <w:rFonts w:cs="Arial"/>
          <w:iCs/>
        </w:rPr>
      </w:pPr>
    </w:p>
    <w:p w14:paraId="25C1EBA5" w14:textId="77777777" w:rsidR="009B03C3" w:rsidRDefault="009B03C3" w:rsidP="009B03C3">
      <w:pPr>
        <w:shd w:val="clear" w:color="auto" w:fill="FFFFFF" w:themeFill="background1"/>
        <w:tabs>
          <w:tab w:val="left" w:pos="3969"/>
        </w:tabs>
        <w:spacing w:after="180"/>
        <w:jc w:val="both"/>
        <w:rPr>
          <w:rFonts w:cs="Arial"/>
          <w:iCs/>
        </w:rPr>
      </w:pPr>
      <w:r>
        <w:rPr>
          <w:rFonts w:cs="Arial"/>
          <w:iCs/>
        </w:rPr>
        <w:t>The sole ground of appeal is:</w:t>
      </w:r>
    </w:p>
    <w:p w14:paraId="1B79EF09" w14:textId="77777777" w:rsidR="009B03C3" w:rsidRPr="00396E69" w:rsidRDefault="009B03C3" w:rsidP="009B03C3">
      <w:pPr>
        <w:pStyle w:val="ListParagraph"/>
        <w:numPr>
          <w:ilvl w:val="0"/>
          <w:numId w:val="11"/>
        </w:numPr>
        <w:shd w:val="clear" w:color="auto" w:fill="FFFFFF" w:themeFill="background1"/>
        <w:tabs>
          <w:tab w:val="left" w:pos="3969"/>
        </w:tabs>
        <w:ind w:left="426" w:hanging="426"/>
        <w:rPr>
          <w:rFonts w:cs="Arial"/>
          <w:iCs/>
        </w:rPr>
      </w:pPr>
      <w:r>
        <w:rPr>
          <w:rFonts w:cs="Arial"/>
          <w:iCs/>
        </w:rPr>
        <w:t>The majority of the CCA erred in upholding that it was correct for Mr Xerri to be sentenced on the basis that the maximum penalty was life imprisonment when the maximum penalty at the time of offending was twenty-five years imprisonment.</w:t>
      </w:r>
    </w:p>
    <w:p w14:paraId="2FD3FACC" w14:textId="77777777" w:rsidR="009B03C3" w:rsidRDefault="009B03C3" w:rsidP="009B03C3">
      <w:pPr>
        <w:pStyle w:val="NormalWeb"/>
        <w:shd w:val="clear" w:color="auto" w:fill="FFFFFF" w:themeFill="background1"/>
        <w:spacing w:before="0" w:beforeAutospacing="0" w:after="0" w:afterAutospacing="0"/>
        <w:jc w:val="both"/>
        <w:rPr>
          <w:rFonts w:ascii="Arial" w:hAnsi="Arial" w:cs="Arial"/>
          <w:iCs/>
          <w:szCs w:val="20"/>
          <w:lang w:val="en-US"/>
        </w:rPr>
      </w:pPr>
    </w:p>
    <w:p w14:paraId="7249255F" w14:textId="77777777" w:rsidR="009B03C3" w:rsidRDefault="009B03C3" w:rsidP="009B03C3">
      <w:pPr>
        <w:shd w:val="clear" w:color="auto" w:fill="FFFFFF" w:themeFill="background1"/>
        <w:tabs>
          <w:tab w:val="left" w:pos="3969"/>
        </w:tabs>
        <w:spacing w:after="180"/>
        <w:jc w:val="both"/>
        <w:rPr>
          <w:rFonts w:cs="Arial"/>
          <w:iCs/>
        </w:rPr>
      </w:pPr>
      <w:r>
        <w:rPr>
          <w:rFonts w:cs="Arial"/>
          <w:iCs/>
        </w:rPr>
        <w:t>The respondent has filed a notice of contention, seeking to raise the following ground:</w:t>
      </w:r>
    </w:p>
    <w:p w14:paraId="7B2B8F5D" w14:textId="107D45DB" w:rsidR="009B03C3" w:rsidRPr="00DE017E" w:rsidRDefault="009B03C3" w:rsidP="009B03C3">
      <w:pPr>
        <w:pStyle w:val="ListParagraph"/>
        <w:numPr>
          <w:ilvl w:val="0"/>
          <w:numId w:val="11"/>
        </w:numPr>
        <w:shd w:val="clear" w:color="auto" w:fill="FFFFFF" w:themeFill="background1"/>
        <w:tabs>
          <w:tab w:val="left" w:pos="3969"/>
        </w:tabs>
        <w:ind w:left="426" w:hanging="426"/>
        <w:rPr>
          <w:rFonts w:cs="Arial"/>
          <w:iCs/>
        </w:rPr>
      </w:pPr>
      <w:r>
        <w:rPr>
          <w:rFonts w:cs="Arial"/>
          <w:iCs/>
        </w:rPr>
        <w:t xml:space="preserve">Even if the Amendment Act “increase[d] the penalty” for the offence </w:t>
      </w:r>
      <w:r w:rsidRPr="00FA0675">
        <w:rPr>
          <w:rFonts w:cs="Arial"/>
          <w:iCs/>
        </w:rPr>
        <w:t xml:space="preserve">under </w:t>
      </w:r>
      <w:r>
        <w:rPr>
          <w:rFonts w:cs="Arial"/>
          <w:iCs/>
        </w:rPr>
        <w:t xml:space="preserve">s 66EA of the Crimes Act for the purposes of s 19(1) of the CSP Act, </w:t>
      </w:r>
      <w:r w:rsidR="00EB2BE6">
        <w:rPr>
          <w:rFonts w:cs="Arial"/>
          <w:iCs/>
        </w:rPr>
        <w:br/>
      </w:r>
      <w:r>
        <w:rPr>
          <w:rFonts w:cs="Arial"/>
          <w:iCs/>
        </w:rPr>
        <w:t>the maximum penalty of life imprisonment specified in s 66</w:t>
      </w:r>
      <w:proofErr w:type="gramStart"/>
      <w:r>
        <w:rPr>
          <w:rFonts w:cs="Arial"/>
          <w:iCs/>
        </w:rPr>
        <w:t>EA(</w:t>
      </w:r>
      <w:proofErr w:type="gramEnd"/>
      <w:r>
        <w:rPr>
          <w:rFonts w:cs="Arial"/>
          <w:iCs/>
        </w:rPr>
        <w:t>1), following that amendment, applied to Mr Xerri by reason of s 66EA(7).</w:t>
      </w:r>
    </w:p>
    <w:p w14:paraId="54CB95FE" w14:textId="77777777" w:rsidR="009F7CA1" w:rsidRPr="00913869" w:rsidRDefault="009F7CA1" w:rsidP="00913869"/>
    <w:sectPr w:rsidR="009F7CA1"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2F7F0B0A" w:rsidR="004B7828" w:rsidRDefault="00963646">
    <w:pPr>
      <w:tabs>
        <w:tab w:val="left" w:pos="851"/>
        <w:tab w:val="right" w:pos="8505"/>
      </w:tabs>
      <w:jc w:val="center"/>
      <w:rPr>
        <w:b/>
        <w:u w:val="single"/>
      </w:rPr>
    </w:pPr>
    <w:r>
      <w:rPr>
        <w:b/>
        <w:u w:val="single"/>
      </w:rPr>
      <w:t>OCTOBER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2261F"/>
    <w:multiLevelType w:val="hybridMultilevel"/>
    <w:tmpl w:val="7D0CAA7E"/>
    <w:lvl w:ilvl="0" w:tplc="0C090019">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8972BA"/>
    <w:multiLevelType w:val="hybridMultilevel"/>
    <w:tmpl w:val="A838EC08"/>
    <w:lvl w:ilvl="0" w:tplc="55F4F4F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831A01"/>
    <w:multiLevelType w:val="hybridMultilevel"/>
    <w:tmpl w:val="8BEC7310"/>
    <w:lvl w:ilvl="0" w:tplc="0C090001">
      <w:start w:val="1"/>
      <w:numFmt w:val="bullet"/>
      <w:lvlText w:val=""/>
      <w:lvlJc w:val="left"/>
      <w:pPr>
        <w:ind w:left="568" w:hanging="360"/>
      </w:pPr>
      <w:rPr>
        <w:rFonts w:ascii="Symbol" w:hAnsi="Symbol" w:hint="default"/>
      </w:rPr>
    </w:lvl>
    <w:lvl w:ilvl="1" w:tplc="0C090003" w:tentative="1">
      <w:start w:val="1"/>
      <w:numFmt w:val="bullet"/>
      <w:lvlText w:val="o"/>
      <w:lvlJc w:val="left"/>
      <w:pPr>
        <w:ind w:left="1288" w:hanging="360"/>
      </w:pPr>
      <w:rPr>
        <w:rFonts w:ascii="Courier New" w:hAnsi="Courier New" w:cs="Courier New" w:hint="default"/>
      </w:rPr>
    </w:lvl>
    <w:lvl w:ilvl="2" w:tplc="0C090005" w:tentative="1">
      <w:start w:val="1"/>
      <w:numFmt w:val="bullet"/>
      <w:lvlText w:val=""/>
      <w:lvlJc w:val="left"/>
      <w:pPr>
        <w:ind w:left="2008" w:hanging="360"/>
      </w:pPr>
      <w:rPr>
        <w:rFonts w:ascii="Wingdings" w:hAnsi="Wingdings" w:hint="default"/>
      </w:rPr>
    </w:lvl>
    <w:lvl w:ilvl="3" w:tplc="0C090001" w:tentative="1">
      <w:start w:val="1"/>
      <w:numFmt w:val="bullet"/>
      <w:lvlText w:val=""/>
      <w:lvlJc w:val="left"/>
      <w:pPr>
        <w:ind w:left="2728" w:hanging="360"/>
      </w:pPr>
      <w:rPr>
        <w:rFonts w:ascii="Symbol" w:hAnsi="Symbol" w:hint="default"/>
      </w:rPr>
    </w:lvl>
    <w:lvl w:ilvl="4" w:tplc="0C090003" w:tentative="1">
      <w:start w:val="1"/>
      <w:numFmt w:val="bullet"/>
      <w:lvlText w:val="o"/>
      <w:lvlJc w:val="left"/>
      <w:pPr>
        <w:ind w:left="3448" w:hanging="360"/>
      </w:pPr>
      <w:rPr>
        <w:rFonts w:ascii="Courier New" w:hAnsi="Courier New" w:cs="Courier New" w:hint="default"/>
      </w:rPr>
    </w:lvl>
    <w:lvl w:ilvl="5" w:tplc="0C090005" w:tentative="1">
      <w:start w:val="1"/>
      <w:numFmt w:val="bullet"/>
      <w:lvlText w:val=""/>
      <w:lvlJc w:val="left"/>
      <w:pPr>
        <w:ind w:left="4168" w:hanging="360"/>
      </w:pPr>
      <w:rPr>
        <w:rFonts w:ascii="Wingdings" w:hAnsi="Wingdings" w:hint="default"/>
      </w:rPr>
    </w:lvl>
    <w:lvl w:ilvl="6" w:tplc="0C090001" w:tentative="1">
      <w:start w:val="1"/>
      <w:numFmt w:val="bullet"/>
      <w:lvlText w:val=""/>
      <w:lvlJc w:val="left"/>
      <w:pPr>
        <w:ind w:left="4888" w:hanging="360"/>
      </w:pPr>
      <w:rPr>
        <w:rFonts w:ascii="Symbol" w:hAnsi="Symbol" w:hint="default"/>
      </w:rPr>
    </w:lvl>
    <w:lvl w:ilvl="7" w:tplc="0C090003" w:tentative="1">
      <w:start w:val="1"/>
      <w:numFmt w:val="bullet"/>
      <w:lvlText w:val="o"/>
      <w:lvlJc w:val="left"/>
      <w:pPr>
        <w:ind w:left="5608" w:hanging="360"/>
      </w:pPr>
      <w:rPr>
        <w:rFonts w:ascii="Courier New" w:hAnsi="Courier New" w:cs="Courier New" w:hint="default"/>
      </w:rPr>
    </w:lvl>
    <w:lvl w:ilvl="8" w:tplc="0C090005" w:tentative="1">
      <w:start w:val="1"/>
      <w:numFmt w:val="bullet"/>
      <w:lvlText w:val=""/>
      <w:lvlJc w:val="left"/>
      <w:pPr>
        <w:ind w:left="6328" w:hanging="360"/>
      </w:pPr>
      <w:rPr>
        <w:rFonts w:ascii="Wingdings" w:hAnsi="Wingdings" w:hint="default"/>
      </w:rPr>
    </w:lvl>
  </w:abstractNum>
  <w:abstractNum w:abstractNumId="9"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2"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16cid:durableId="43608431">
    <w:abstractNumId w:val="12"/>
  </w:num>
  <w:num w:numId="2" w16cid:durableId="521087375">
    <w:abstractNumId w:val="6"/>
  </w:num>
  <w:num w:numId="3" w16cid:durableId="1785229308">
    <w:abstractNumId w:val="4"/>
  </w:num>
  <w:num w:numId="4" w16cid:durableId="1532961715">
    <w:abstractNumId w:val="7"/>
  </w:num>
  <w:num w:numId="5" w16cid:durableId="466817746">
    <w:abstractNumId w:val="11"/>
  </w:num>
  <w:num w:numId="6" w16cid:durableId="1542588954">
    <w:abstractNumId w:val="10"/>
  </w:num>
  <w:num w:numId="7" w16cid:durableId="157428894">
    <w:abstractNumId w:val="1"/>
  </w:num>
  <w:num w:numId="8" w16cid:durableId="513035403">
    <w:abstractNumId w:val="0"/>
  </w:num>
  <w:num w:numId="9" w16cid:durableId="1348435885">
    <w:abstractNumId w:val="2"/>
  </w:num>
  <w:num w:numId="10" w16cid:durableId="953632437">
    <w:abstractNumId w:val="9"/>
  </w:num>
  <w:num w:numId="11" w16cid:durableId="2099670876">
    <w:abstractNumId w:val="5"/>
  </w:num>
  <w:num w:numId="12" w16cid:durableId="713892439">
    <w:abstractNumId w:val="3"/>
  </w:num>
  <w:num w:numId="13" w16cid:durableId="747653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8045A"/>
    <w:rsid w:val="000B7BD8"/>
    <w:rsid w:val="000C72F0"/>
    <w:rsid w:val="00107F40"/>
    <w:rsid w:val="0017627F"/>
    <w:rsid w:val="001A29AE"/>
    <w:rsid w:val="001C44EC"/>
    <w:rsid w:val="0021299F"/>
    <w:rsid w:val="002E45D0"/>
    <w:rsid w:val="002F170E"/>
    <w:rsid w:val="003C2828"/>
    <w:rsid w:val="003D1679"/>
    <w:rsid w:val="00434F82"/>
    <w:rsid w:val="0047124E"/>
    <w:rsid w:val="004B7828"/>
    <w:rsid w:val="00525022"/>
    <w:rsid w:val="0055722D"/>
    <w:rsid w:val="00570096"/>
    <w:rsid w:val="005A5A9E"/>
    <w:rsid w:val="006235D8"/>
    <w:rsid w:val="0069550A"/>
    <w:rsid w:val="00737693"/>
    <w:rsid w:val="00783533"/>
    <w:rsid w:val="007A037B"/>
    <w:rsid w:val="007C27A2"/>
    <w:rsid w:val="00811E2E"/>
    <w:rsid w:val="00876107"/>
    <w:rsid w:val="008F5416"/>
    <w:rsid w:val="00913869"/>
    <w:rsid w:val="00930486"/>
    <w:rsid w:val="00963646"/>
    <w:rsid w:val="009B03C3"/>
    <w:rsid w:val="009F7CA1"/>
    <w:rsid w:val="00A414D3"/>
    <w:rsid w:val="00A70EF0"/>
    <w:rsid w:val="00A76959"/>
    <w:rsid w:val="00BA02B7"/>
    <w:rsid w:val="00C47C24"/>
    <w:rsid w:val="00C65A07"/>
    <w:rsid w:val="00C72DE1"/>
    <w:rsid w:val="00CA4E24"/>
    <w:rsid w:val="00CB71B6"/>
    <w:rsid w:val="00D35EE5"/>
    <w:rsid w:val="00D400AC"/>
    <w:rsid w:val="00DC4C66"/>
    <w:rsid w:val="00E442CA"/>
    <w:rsid w:val="00E75DF1"/>
    <w:rsid w:val="00EB2BE6"/>
    <w:rsid w:val="00EF746C"/>
    <w:rsid w:val="00F03117"/>
    <w:rsid w:val="00F51F31"/>
    <w:rsid w:val="00FE2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5EE5"/>
    <w:rPr>
      <w:rFonts w:ascii="Calibri" w:eastAsia="Calibri" w:hAnsi="Calibri"/>
      <w:sz w:val="22"/>
      <w:szCs w:val="22"/>
      <w:lang w:eastAsia="en-US"/>
    </w:rPr>
  </w:style>
  <w:style w:type="paragraph" w:styleId="ListParagraph">
    <w:name w:val="List Paragraph"/>
    <w:basedOn w:val="Normal"/>
    <w:uiPriority w:val="34"/>
    <w:qFormat/>
    <w:rsid w:val="001C44EC"/>
    <w:pPr>
      <w:ind w:left="720"/>
      <w:jc w:val="both"/>
    </w:pPr>
  </w:style>
  <w:style w:type="paragraph" w:styleId="NormalWeb">
    <w:name w:val="Normal (Web)"/>
    <w:basedOn w:val="Normal"/>
    <w:uiPriority w:val="99"/>
    <w:unhideWhenUsed/>
    <w:rsid w:val="001C44EC"/>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3339</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38</cp:revision>
  <cp:lastPrinted>1999-08-03T02:31:00Z</cp:lastPrinted>
  <dcterms:created xsi:type="dcterms:W3CDTF">2022-03-29T00:10:00Z</dcterms:created>
  <dcterms:modified xsi:type="dcterms:W3CDTF">2023-10-03T05:55:00Z</dcterms:modified>
</cp:coreProperties>
</file>